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صاعد، أبو القاسم، عماد الإسلام ابن أبي العلاء، البخاري، الفقيه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صاعد، أبو القاسم، عماد الإسلام ابن أبي العلاء، البخاري، الفقيه
</w:t>
      </w:r>
    </w:p>
    <w:p>
      <w:pPr/>
      <w:r>
        <w:rPr/>
        <w:t xml:space="preserve">إسماعيل بن صاعد، أبو القاسم، عماد الإسلام ابن أبي العلاء، البخاري، الفقيه كان قاضي أصبهان، وكان من الأعيان الكبراء، مقدما عند الملوك والسلاطين.</w:t>
      </w:r>
    </w:p>
    <w:p/>
    <w:p>
      <w:pPr/>
      <w:r>
        <w:rPr/>
        <w:t xml:space="preserve">قال ابن النجار: والقضاء في ولده إلى يومنا هذا.</w:t>
      </w:r>
    </w:p>
    <w:p/>
    <w:p>
      <w:pPr/>
      <w:r>
        <w:rPr/>
        <w:t xml:space="preserve">قدم بغداد، في سنة عشر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2026-06-14T04:17:14+03:00</dcterms:created>
  <dcterms:modified xsi:type="dcterms:W3CDTF">2026-06-14T04:17:14+03:00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