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صاعد بن منصور بن إسماعيل بن صاعد 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صاعد بن منصور بن إسماعيل بن صاعد أبو الحسن
</w:t>
      </w:r>
    </w:p>
    <w:p>
      <w:pPr/>
      <w:r>
        <w:rPr/>
        <w:t xml:space="preserve">إسماعيل بن صاعد بن منصور بن إسماعيل بن صاعد أبو الحسن من بيت الصاعدية المشهور.</w:t>
      </w:r>
    </w:p>
    <w:p/>
    <w:p>
      <w:pPr/>
      <w:r>
        <w:rPr/>
        <w:t xml:space="preserve">شيخ فاضل، سافر إلى خراسان.</w:t>
      </w:r>
    </w:p>
    <w:p/>
    <w:p>
      <w:pPr/>
      <w:r>
        <w:rPr/>
        <w:t xml:space="preserve">وكان أبوه قد أسمعه من مشايخ عصره، وسمع من جده منصور، وعن أبيه الحسن بن إسماعيل، وغيرهما.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2026-06-14T04:06:34+03:00</dcterms:created>
  <dcterms:modified xsi:type="dcterms:W3CDTF">2026-06-14T04:06:34+03:00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