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أحمد بن إسماعيل القوصي، ثم المصري جلال الدين، أبو الطاهر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أحمد بن إسماعيل القوصي، ثم المصري جلال الدين، أبو الطاهر
</w:t>
      </w:r>
    </w:p>
    <w:p>
      <w:pPr/>
      <w:r>
        <w:rPr/>
        <w:t xml:space="preserve">إسماعيل بن أحمد بن إسماعيل القوصي، ثم المصري جلال الدين، أبو الطاهر قال ابن حبيب: عالم عماده مرفوع، وكلامه بين الطلبة مسموع، ولفظه محرر، وفضله لدى القراء مقرر، وعقود نظمه مؤتلفة، وموارد أدبه مرتشفة.</w:t>
      </w:r>
    </w:p>
    <w:p/>
    <w:p>
      <w:pPr/>
      <w:r>
        <w:rPr/>
        <w:t xml:space="preserve">كان عارفا بالقراءات السبع، ماهرا في العربية، مصدرا للإفادة بالجامع الطولوني، بالديار المصرية.</w:t>
      </w:r>
    </w:p>
    <w:p/>
    <w:p>
      <w:pPr/>
      <w:r>
        <w:rPr/>
        <w:t xml:space="preserve">وقال في ’’ الدرر ’’: اعتنى بالعلم، وفاق في العربية والقراءات، وقال الشعر الحسن، وتصدر بجامع ابن طولون، وكان حسن المحاضرة، وباشر العقود.</w:t>
      </w:r>
    </w:p>
    <w:p/>
    <w:p>
      <w:pPr/>
      <w:r>
        <w:rPr/>
        <w:t xml:space="preserve">وقال الصفدي: هو رفيق أبي حيان، تفقه على مذهب أبي حنيفة، وجمع ’’ كراسة ’’ في حديث ’’ الطهور ماؤه الحل ميتته ’’.</w:t>
      </w:r>
    </w:p>
    <w:p/>
    <w:p>
      <w:pPr/>
      <w:r>
        <w:rPr/>
        <w:t xml:space="preserve">مات سنة خمس عشرة وسبعمائة.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أقول له ودمعي ليس يرقا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ولي من عبرتي إحدى الرسائل</w:t>
      </w:r>
    </w:p>
    <w:p/>
    <w:p>
      <w:pPr>
        <w:jc w:val="center"/>
      </w:pPr>
      <w:r>
        <w:rPr>
          <w:color w:val="ff0000"/>
        </w:rPr>
        <w:t xml:space="preserve">حرمت الطيف منك بفيض دمعي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فطرفي فيك محروم وسائل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2026-06-15T15:35:42+03:00</dcterms:created>
  <dcterms:modified xsi:type="dcterms:W3CDTF">2026-06-15T15:35:42+03:00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