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أحمد، شمس الدين، الرومي المشهور بدينقور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أحمد، شمس الدين، الرومي المشهور بدينقور أحمد
</w:t>
      </w:r>
    </w:p>
    <w:p>
      <w:pPr/>
      <w:r>
        <w:rPr/>
        <w:t xml:space="preserve">أحمد، شمس الدين، الرومي المشهور بدينقور أحمد كان مدرسا ببعض البلاد الرومية، ثم صار مدرسا بمدرسة السلطان بايزيد خان بن السلطان مراد الغازي، بمدينة بروسة.</w:t>
      </w:r>
    </w:p>
    <w:p/>
    <w:p>
      <w:pPr/>
      <w:r>
        <w:rPr/>
        <w:t xml:space="preserve">وتوفي، وهو مدرس بها.</w:t>
      </w:r>
    </w:p>
    <w:p/>
    <w:p>
      <w:pPr/>
      <w:r>
        <w:rPr/>
        <w:t xml:space="preserve">وله تصانيف مفيدة؛ منها: ’’ شرح المراح ’’ في الصرف، و ’’ حواش ’’ على ’’ شرح آداب البحث ’’ لمسعود الرومي، و ’’ شرح المقصود ’’ في الصرف.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2026-06-14T01:02:27+03:00</dcterms:created>
  <dcterms:modified xsi:type="dcterms:W3CDTF">2026-06-14T01:02:27+03:00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