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يوسف الأزرق بن يعقوب بن إسحاق بن البهلول بن حسان بن سنان، أبو الحسن، التنوخي الأنباري الأصل
</w:t>
      </w:r>
    </w:p>
    <w:p>
      <w:pPr>
        <w:jc w:val="start"/>
        <w:bidi/>
      </w:pPr>
      <w:r>
        <w:rPr>
          <w:rFonts w:ascii="arial" w:hAnsi="arial" w:eastAsia="arial" w:cs="arial"/>
          <w:sz w:val="28"/>
          <w:szCs w:val="28"/>
          <w:b w:val="1"/>
          <w:bCs w:val="1"/>
          <w:rtl/>
        </w:rPr>
        <w:t xml:space="preserve">أحمد بن يوسف الأزرق بن يعقوب بن إسحاق بن البهلول بن حسان بن سنان، أبو الحسن، التنوخي الأنباري الأصل
</w:t>
      </w:r>
    </w:p>
    <w:p>
      <w:pPr/>
      <w:r>
        <w:rPr/>
        <w:t xml:space="preserve">أحمد بن يوسف الأزرق بن يعقوب بن إسحاق بن البهلول بن حسان بن سنان، أبو الحسن، التنوخي الأنباري الأصل حدث عن عمر بن إسماعيل بن أبي غيلان الثقفي، ومحمد بن جرير الطبري، وعبد الله ابن إسحاق المدائني، وإسحاق بن بيان بن معن الأنماطي، وعبد الله بن محمد البغوي، وغيرهم من هذه الطبقة.</w:t>
      </w:r>
    </w:p>
    <w:p/>
    <w:p>
      <w:pPr/>
      <w:r>
        <w:rPr/>
        <w:t xml:space="preserve">قال الخطيب: قال لي علي بن المحسن: ولد أبو الحسن بن الأزرق ببغداد، في المحرم، لعشر خلون منه، من سنة سبع وتسعين ومائتين، سمعته يذكر ذلك.</w:t>
      </w:r>
    </w:p>
    <w:p/>
    <w:p>
      <w:pPr/>
      <w:r>
        <w:rPr/>
        <w:t xml:space="preserve">وحمل عن جماعة من أهل العلم والأدب، منهم: علي بن سليمان الأخفش، وابن دريد، وابن شقير النحوي، ونفطويه.</w:t>
      </w:r>
    </w:p>
    <w:p/>
    <w:p>
      <w:pPr/>
      <w:r>
        <w:rPr/>
        <w:t xml:space="preserve">وكان حافظا للقرآن، قرأه كله على ابن مجاهد، بقراءة أبي عمرو بن العلاء، وأخذ شيئا من النحو عن أبي بكر السراج، وأبي إسحاق الزجاج.</w:t>
      </w:r>
    </w:p>
    <w:p/>
    <w:p>
      <w:pPr/>
      <w:r>
        <w:rPr/>
        <w:t xml:space="preserve">وحمل قطعة من اللغة والنحو، عن ابن الأنباري ونفطويه.</w:t>
      </w:r>
    </w:p>
    <w:p/>
    <w:p>
      <w:pPr/>
      <w:r>
        <w:rPr/>
        <w:t xml:space="preserve">وقرأ الكلام في الأصول على أبي بكر بن الأخشاد، ثم على ابن هشام الجبائي.</w:t>
      </w:r>
    </w:p>
    <w:p/>
    <w:p>
      <w:pPr/>
      <w:r>
        <w:rPr/>
        <w:t xml:space="preserve">ودرس من الفقه قطعة على أبي الحسن الكرخي.</w:t>
      </w:r>
    </w:p>
    <w:p/>
    <w:p>
      <w:pPr/>
      <w:r>
        <w:rPr/>
        <w:t xml:space="preserve">ومات يوم الجمعة، لأربع خلون من المحرم، سنة ثمان وسبعين وثلاثمائة. وقالت بنته طاهرة: مات أبي يوم الجمعة، لأربع خلون من المحرم، سنة ثمان وسبعين وثلاثمائة.</w:t>
      </w:r>
    </w:p>
    <w:p/>
    <w:p>
      <w:pPr/>
      <w:r>
        <w:rPr/>
        <w:t xml:space="preserve">وهو أخو أبي غانم محمد بن يوسف الأزرق.</w:t>
      </w:r>
    </w:p>
    <w:p>
      <w:pPr>
        <w:jc w:val="start"/>
        <w:bidi/>
      </w:pPr>
      <w:r>
        <w:rPr>
          <w:sz w:val="24"/>
          <w:szCs w:val="24"/>
          <w:b w:val="1"/>
          <w:bCs w:val="1"/>
          <w:rtl/>
        </w:rPr>
        <w:t xml:space="preserve">
الطبقات السنية في تراجم الحنفية،(دار الرفاعي - الرياض،1983،ط 0،ج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2026-06-14T01:16:12+03:00</dcterms:created>
  <dcterms:modified xsi:type="dcterms:W3CDTF">2026-06-14T01:16:12+03:00</dcterms:modified>
</cp:coreProperties>
</file>

<file path=docProps/custom.xml><?xml version="1.0" encoding="utf-8"?>
<Properties xmlns="http://schemas.openxmlformats.org/officeDocument/2006/custom-properties" xmlns:vt="http://schemas.openxmlformats.org/officeDocument/2006/docPropsVTypes"/>
</file>