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أبو منصور بن أبي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أبو منصور بن أبي الحارث
</w:t>
      </w:r>
    </w:p>
    <w:p>
      <w:pPr/>
      <w:r>
        <w:rPr/>
        <w:t xml:space="preserve">أحمد بن محمد، أبو منصور بن أبي الحارث قال ابن الهمذاني، في ’’ الطبقات ’’: حدثني من رآه، وقد ورد إلى بغداد، سنة ثمان وسبعين وأربعمائة للحج، وكان شيخا مهيبا، حسن الوجه، وولى القضاء بسرخس.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2026-06-13T23:11:07+03:00</dcterms:created>
  <dcterms:modified xsi:type="dcterms:W3CDTF">2026-06-13T23:11:07+03:00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