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محمد بن أحمد بن محمد بن محمد ابن حمادن، أبو منصور، الحارثي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محمد بن أحمد بن محمد بن محمد ابن حمادن، أبو منصور، الحارثي
</w:t>
      </w:r>
    </w:p>
    <w:p>
      <w:pPr/>
      <w:r>
        <w:rPr/>
        <w:t xml:space="preserve">أحمد بن محمد بن محمد بن أحمد بن محمد بن محمد ابن حمادن، أبو منصور، الحارثي القاضي، الرئيس</w:t>
      </w:r>
    </w:p>
    <w:p/>
    <w:p>
      <w:pPr/>
      <w:r>
        <w:rPr/>
        <w:t xml:space="preserve">من أهل سرخس.</w:t>
      </w:r>
    </w:p>
    <w:p/>
    <w:p>
      <w:pPr/>
      <w:r>
        <w:rPr/>
        <w:t xml:space="preserve">مولده في الحادي والعشرين من ذي القعدة، سنة سبع وثلاثين وأربعمائة.</w:t>
      </w:r>
    </w:p>
    <w:p/>
    <w:p>
      <w:pPr/>
      <w:r>
        <w:rPr/>
        <w:t xml:space="preserve">ذكره الإمام نجم الدين أبو حفص عمر النسفي، في ’’ معجم شيوخه ’’، وقال: من مسموعاته، كتاب ’’ الموطأ ’’ رواية محمد بن الحسن، عن مالك، ومنها تصانيف أبي الحسن الكرخي.</w:t>
      </w:r>
    </w:p>
    <w:p/>
    <w:p>
      <w:pPr/>
      <w:r>
        <w:rPr/>
        <w:t xml:space="preserve">وكانت وفاته خامس عشر المحرم سنة اثنتي عشرة وخمسمائة، رحمه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145)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2026-06-13T21:34:19+03:00</dcterms:created>
  <dcterms:modified xsi:type="dcterms:W3CDTF">2026-06-13T21:34:19+03:00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