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عمران، الكاثي الحجي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عمران، الكاثي الحجي
</w:t>
      </w:r>
    </w:p>
    <w:p>
      <w:pPr/>
      <w:r>
        <w:rPr/>
        <w:t xml:space="preserve">أحمد بن محمد بن عمران، الكاثي الحجي نسبة إلى الحج، وأهل خوارزم يقولون: الحجي، كما يقول الناس: الحاج.</w:t>
      </w:r>
    </w:p>
    <w:p/>
    <w:p>
      <w:pPr/>
      <w:r>
        <w:rPr/>
        <w:t xml:space="preserve">قال السمعاني: كان فقيها فاضلا، حسن السيرة.</w:t>
      </w:r>
    </w:p>
    <w:p/>
    <w:p>
      <w:pPr/>
      <w:r>
        <w:rPr/>
        <w:t xml:space="preserve">سمع ببغداد أبا القاسم بن الحصين الشيباني.</w:t>
      </w:r>
    </w:p>
    <w:p/>
    <w:p>
      <w:pPr/>
      <w:r>
        <w:rPr/>
        <w:t xml:space="preserve">وكانت ولادته سنة ست وتسعين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2026-06-13T23:11:09+03:00</dcterms:created>
  <dcterms:modified xsi:type="dcterms:W3CDTF">2026-06-13T23:11:09+03:00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