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معديكرب الكندي
</w:t>
      </w:r>
    </w:p>
    <w:p>
      <w:pPr>
        <w:jc w:val="start"/>
        <w:bidi/>
      </w:pPr>
      <w:r>
        <w:rPr>
          <w:rFonts w:ascii="arial" w:hAnsi="arial" w:eastAsia="arial" w:cs="arial"/>
          <w:sz w:val="28"/>
          <w:szCs w:val="28"/>
          <w:b w:val="1"/>
          <w:bCs w:val="1"/>
          <w:rtl/>
        </w:rPr>
        <w:t xml:space="preserve">معديكرب الكندي
</w:t>
      </w:r>
    </w:p>
    <w:p>
      <w:pPr/>
      <w:r>
        <w:rPr/>
        <w:t xml:space="preserve">معديكرب الكندي  معديكرب بن الحارث بن عمرو بن حجر آكل المرار الكندي، من قحطان: ملك جاهلي يماني. لقبه (غلفاء) ولد بمدينة (دمون) المعروفة اليوم بالقزة (بحضرموت) ورحل مع ابيه إلى العراق، فأقامه ملكا على (قيس عيلان) بجهة الموصل والجزيرة، والحق به (كنانة) وكان عاقلا محبا للسلم، ينسب له شعر. وهو عم (امرئ القيس) الشاعر. قال ابن حبيب: اصابة الوسواس على اخيه شرحبيل (بعد مقتله) فخرج يهيم على وجهه، فمات، وانخرق ملك كندة، فرحلوا إلى حضرموت. وفي النقائض: قتلته تغلب وقضاعة يوم (أوارة) وقال الزبيدي: لقب بغلفاء (لانه-فيما زعموا-أول من غلف بالمسك) أي طيب به. </w:t>
      </w:r>
    </w:p>
    <w:p>
      <w:pPr>
        <w:jc w:val="start"/>
        <w:bidi/>
      </w:pPr>
      <w:r>
        <w:rPr>
          <w:sz w:val="24"/>
          <w:szCs w:val="24"/>
          <w:b w:val="1"/>
          <w:bCs w:val="1"/>
          <w:rtl/>
        </w:rPr>
        <w:t xml:space="preserve">
الأعلام،(دار العلم للملايين - بيروت،2002،ط 15،ج 7،ص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2026-05-16T11:55:51+03:00</dcterms:created>
  <dcterms:modified xsi:type="dcterms:W3CDTF">2026-05-16T11:55:51+03:00</dcterms:modified>
</cp:coreProperties>
</file>

<file path=docProps/custom.xml><?xml version="1.0" encoding="utf-8"?>
<Properties xmlns="http://schemas.openxmlformats.org/officeDocument/2006/custom-properties" xmlns:vt="http://schemas.openxmlformats.org/officeDocument/2006/docPropsVTypes"/>
</file>