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علي، أبو الفضل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علي، أبو الفضل القاشاني
</w:t>
      </w:r>
    </w:p>
    <w:p>
      <w:pPr/>
      <w:r>
        <w:rPr/>
        <w:t xml:space="preserve">أحمد بن محمد بن علي، أبو الفضل القاشاني نزيل همذان، ذكره ابن الشعار، فقال: كان من الفقهاء الحنفية، أصوليا، عارفا بالمسائل الخلافية، حافظا للأشعار، ويكتب خطا حسنا.</w:t>
      </w:r>
    </w:p>
    <w:p/>
    <w:p>
      <w:pPr/>
      <w:r>
        <w:rPr/>
        <w:t xml:space="preserve">أنشدني من شعره [ابنه] أبو بكر إسحاق ببغداد.</w:t>
      </w:r>
    </w:p>
    <w:p/>
    <w:p>
      <w:pPr/>
      <w:r>
        <w:rPr/>
        <w:t xml:space="preserve">ومات بهمذان، في سلخ ذي القعدة، سنة تسع عشرة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2026-06-13T23:13:40+03:00</dcterms:created>
  <dcterms:modified xsi:type="dcterms:W3CDTF">2026-06-13T23:13:40+03:00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