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أبو الفتح الخلمي
</w:t>
      </w:r>
    </w:p>
    <w:p>
      <w:pPr>
        <w:jc w:val="start"/>
        <w:bidi/>
      </w:pPr>
      <w:r>
        <w:rPr>
          <w:rFonts w:ascii="arial" w:hAnsi="arial" w:eastAsia="arial" w:cs="arial"/>
          <w:sz w:val="28"/>
          <w:szCs w:val="28"/>
          <w:b w:val="1"/>
          <w:bCs w:val="1"/>
          <w:rtl/>
        </w:rPr>
        <w:t xml:space="preserve">أحمد بن محمد بن أحمد، أبو الفتح الخلمي
</w:t>
      </w:r>
    </w:p>
    <w:p>
      <w:pPr/>
      <w:r>
        <w:rPr/>
        <w:t xml:space="preserve">أحمد بن محمد بن أحمد، أبو الفتح الخلمي ذكره السمعاني بالخاء المعجمة. وقال: نسبة إلى خلم، وهي بلدة على عشر فراسخ من بلخ.</w:t>
      </w:r>
    </w:p>
    <w:p/>
    <w:p>
      <w:pPr/>
      <w:r>
        <w:rPr/>
        <w:t xml:space="preserve">مولده في شهر ربيع الأول، سنة سبعين وأربعمائة.</w:t>
      </w:r>
    </w:p>
    <w:p/>
    <w:p>
      <w:pPr/>
      <w:r>
        <w:rPr/>
        <w:t xml:space="preserve">وأقام ببخارى مدة يتفقه.</w:t>
      </w:r>
    </w:p>
    <w:p/>
    <w:p>
      <w:pPr/>
      <w:r>
        <w:rPr/>
        <w:t xml:space="preserve">وسمع بها القاضي أبا اليسر محمد بن محمد بن الحسين البردوي، وأبا المعين ميمون بن محمد بن محمد النسفي، والسيد أبا إبراهيم إسماعيل بن محمد بن الحسن بن الحسين، وكتب عنهم إملاء.</w:t>
      </w:r>
    </w:p>
    <w:p/>
    <w:p>
      <w:pPr/>
      <w:r>
        <w:rPr/>
        <w:t xml:space="preserve">وسمع ببغداد.</w:t>
      </w:r>
    </w:p>
    <w:p/>
    <w:p>
      <w:pPr/>
      <w:r>
        <w:rPr/>
        <w:t xml:space="preserve">ذكره أبو سعد، في ’’ ذيله ’’، وقال: كان صالحا، ساكنا، وكان ينوب عن القاضي في بعض الأوقات.</w:t>
      </w:r>
    </w:p>
    <w:p/>
    <w:p>
      <w:pPr/>
      <w:r>
        <w:rPr/>
        <w:t xml:space="preserve">ورد بغداد حاجا، سنة سبع عشرة وخمسمائة، وسمع بها.</w:t>
      </w:r>
    </w:p>
    <w:p/>
    <w:p>
      <w:pPr/>
      <w:r>
        <w:rPr/>
        <w:t xml:space="preserve">قال: ولقيته ببلخ، ونفذ إلى مجلدا ضخما مما كتب بخط يده، من أمالي الأئمة المذكورين.</w:t>
      </w:r>
    </w:p>
    <w:p/>
    <w:p>
      <w:pPr/>
      <w:r>
        <w:rPr/>
        <w:t xml:space="preserve">وتوفي يوم الأربعاء، الحادي والعشرين من صفر، سنة سبع وأربعين وخمسمائة.</w:t>
      </w:r>
    </w:p>
    <w:p/>
    <w:p>
      <w:pPr/>
      <w:r>
        <w:rPr/>
        <w:t xml:space="preserve">رحمه الله تعالى.</w:t>
      </w:r>
    </w:p>
    <w:p>
      <w:pPr>
        <w:jc w:val="start"/>
        <w:bidi/>
      </w:pPr>
      <w:r>
        <w:rPr>
          <w:sz w:val="24"/>
          <w:szCs w:val="24"/>
          <w:b w:val="1"/>
          <w:bCs w:val="1"/>
          <w:rtl/>
        </w:rPr>
        <w:t xml:space="preserve">
الطبقات السنية في تراجم الحنفية،(دار الرفاعي - الرياض،1983،ط 0،ج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2026-06-13T20:06:23+03:00</dcterms:created>
  <dcterms:modified xsi:type="dcterms:W3CDTF">2026-06-13T20:06:23+03:00</dcterms:modified>
</cp:coreProperties>
</file>

<file path=docProps/custom.xml><?xml version="1.0" encoding="utf-8"?>
<Properties xmlns="http://schemas.openxmlformats.org/officeDocument/2006/custom-properties" xmlns:vt="http://schemas.openxmlformats.org/officeDocument/2006/docPropsVTypes"/>
</file>