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أحمد بن يحيى، أبو النصر الأنماطي، الحفيد،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أحمد بن يحيى، أبو النصر الأنماطي، الحفيد، النيسابوري
</w:t>
      </w:r>
    </w:p>
    <w:p>
      <w:pPr/>
      <w:r>
        <w:rPr/>
        <w:t xml:space="preserve">أحمد بن محمد بن أحمد بن يحيى، أبو النصر الأنماطي، الحفيد، النيسابوري قال الحاكم في ’’ تاريخ نيسابور ’’: ما علمت في أصحاب أبي أكثر سماعا للحديث منه.</w:t>
      </w:r>
    </w:p>
    <w:p/>
    <w:p>
      <w:pPr/>
      <w:r>
        <w:rPr/>
        <w:t xml:space="preserve">توفي سنة ثمان وثلاثين وثلاثمائة.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2026-06-13T20:41:20+03:00</dcterms:created>
  <dcterms:modified xsi:type="dcterms:W3CDTF">2026-06-13T20:41:20+03:00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