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إبراهيم، أبو عمرو الفقيه، الزورني
</w:t>
      </w:r>
    </w:p>
    <w:p>
      <w:pPr>
        <w:jc w:val="start"/>
        <w:bidi/>
      </w:pPr>
      <w:r>
        <w:rPr>
          <w:rFonts w:ascii="arial" w:hAnsi="arial" w:eastAsia="arial" w:cs="arial"/>
          <w:sz w:val="28"/>
          <w:szCs w:val="28"/>
          <w:b w:val="1"/>
          <w:bCs w:val="1"/>
          <w:rtl/>
        </w:rPr>
        <w:t xml:space="preserve">أحمد بن محمد بن إبراهيم، أبو عمرو الفقيه، الزورني
</w:t>
      </w:r>
    </w:p>
    <w:p>
      <w:pPr/>
      <w:r>
        <w:rPr/>
        <w:t xml:space="preserve">أحمد بن محمد بن إبراهيم، أبو عمرو الفقيه، الزورني. ذكره الحافظ أبو سعد عبد الكريم، في ’’ الأنساب ’’. قال ’’ تفقه على مذهب أبي حنيفة، وسكن باب عرزة سنين، ثم تحول إلى زون.</w:t>
      </w:r>
    </w:p>
    <w:p/>
    <w:p>
      <w:pPr/>
      <w:r>
        <w:rPr/>
        <w:t xml:space="preserve">ومات بها، في سنة خمس وسبعين وثلاثمائة، رحمه الله تعالى.</w:t>
      </w:r>
    </w:p>
    <w:p>
      <w:pPr>
        <w:jc w:val="start"/>
        <w:bidi/>
      </w:pPr>
      <w:r>
        <w:rPr>
          <w:sz w:val="24"/>
          <w:szCs w:val="24"/>
          <w:b w:val="1"/>
          <w:bCs w:val="1"/>
          <w:rtl/>
        </w:rPr>
        <w:t xml:space="preserve">
الطبقات السنية في تراجم الحنفية،(دار الرفاعي - الرياض،1983،ط 0،ج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2026-06-13T18:45:23+03:00</dcterms:created>
  <dcterms:modified xsi:type="dcterms:W3CDTF">2026-06-13T18:45:23+03:00</dcterms:modified>
</cp:coreProperties>
</file>

<file path=docProps/custom.xml><?xml version="1.0" encoding="utf-8"?>
<Properties xmlns="http://schemas.openxmlformats.org/officeDocument/2006/custom-properties" xmlns:vt="http://schemas.openxmlformats.org/officeDocument/2006/docPropsVTypes"/>
</file>