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قلشماه، أبو العباس القونوي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قلشماه، أبو العباس القونوي
</w:t>
      </w:r>
    </w:p>
    <w:p>
      <w:pPr/>
      <w:r>
        <w:rPr/>
        <w:t xml:space="preserve">أحمد بن قلشماه، أبو العباس القونوي قاضي القضاة بمدينة قونية، من بلاد الروم، أكثر من ثلاثين سنة.</w:t>
      </w:r>
    </w:p>
    <w:p/>
    <w:p>
      <w:pPr/>
      <w:r>
        <w:rPr/>
        <w:t xml:space="preserve">كان إماما، عالما بالتفسير والفقه، والنحو، والأصلين.</w:t>
      </w:r>
    </w:p>
    <w:p/>
    <w:p>
      <w:pPr/>
      <w:r>
        <w:rPr/>
        <w:t xml:space="preserve">ودرس بقونية بالمصلحية، والنظامية، وغيرهما.</w:t>
      </w:r>
    </w:p>
    <w:p/>
    <w:p>
      <w:pPr/>
      <w:r>
        <w:rPr/>
        <w:t xml:space="preserve">كذا ذكره في ’’ الجواهر ’’،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قلمشاه أبو العباس القونوي الحنفي
</w:t>
      </w:r>
    </w:p>
    <w:p>
      <w:pPr/>
      <w:r>
        <w:rPr/>
        <w:t xml:space="preserve">أحمد بن قلمشاه أبو العباس القونوي الحنفي. قاضي القضاة بمدينة قونية من بلاد الروم أكثر من ثلاثين سنة، كان عالما بالتفسير والفقه والنحو والأصلين، ودرس بقونية بالمصلحية والنظامية وغيرهما.</w:t>
      </w:r>
    </w:p>
    <w:p/>
    <w:p>
      <w:pPr/>
      <w:r>
        <w:rPr/>
        <w:t xml:space="preserve">ذكره القرشي في طبقات الحنفية،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2026-06-13T18:41:11+03:00</dcterms:created>
  <dcterms:modified xsi:type="dcterms:W3CDTF">2026-06-13T18:41:11+03:00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