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الكريم
</w:t>
      </w:r>
    </w:p>
    <w:p>
      <w:pPr>
        <w:jc w:val="start"/>
        <w:bidi/>
      </w:pPr>
      <w:r>
        <w:rPr>
          <w:rFonts w:ascii="arial" w:hAnsi="arial" w:eastAsia="arial" w:cs="arial"/>
          <w:sz w:val="28"/>
          <w:szCs w:val="28"/>
          <w:b w:val="1"/>
          <w:bCs w:val="1"/>
          <w:rtl/>
        </w:rPr>
        <w:t xml:space="preserve">أحمد بن عبد الكريم
</w:t>
      </w:r>
    </w:p>
    <w:p>
      <w:pPr/>
      <w:r>
        <w:rPr/>
        <w:t xml:space="preserve">أحمد بن عبد الكريم رفيق محمود بن عبد الرحيم.</w:t>
      </w:r>
    </w:p>
    <w:p/>
    <w:p>
      <w:pPr/>
      <w:r>
        <w:rPr/>
        <w:t xml:space="preserve">كانا في زمن علاء الدين التاجري، المذكور في ’’ القنية ’’.</w:t>
      </w:r>
    </w:p>
    <w:p/>
    <w:p>
      <w:pPr/>
      <w:r>
        <w:rPr/>
        <w:t xml:space="preserve">*ذكرهما في ’’ الجواهر ’’، وحكي أنهما سئلا عن قرية يعطي الإمام لخطيبها في كل سنة من غلات نفسه قدرا معينا، ثم إن واحدا خطب سنة، هل يستحق هذا المرسوم شرعا؟.</w:t>
      </w:r>
    </w:p>
    <w:p/>
    <w:p>
      <w:pPr/>
      <w:r>
        <w:rPr/>
        <w:t xml:space="preserve">فقالا: لا.</w:t>
      </w:r>
    </w:p>
    <w:p>
      <w:pPr>
        <w:jc w:val="start"/>
        <w:bidi/>
      </w:pPr>
      <w:r>
        <w:rPr>
          <w:sz w:val="24"/>
          <w:szCs w:val="24"/>
          <w:b w:val="1"/>
          <w:bCs w:val="1"/>
          <w:rtl/>
        </w:rPr>
        <w:t xml:space="preserve">
الطبقات السنية في تراجم الحنفية،(دار الرفاعي - الرياض،1983،ط 0،ج 1،ص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2026-05-15T00:22:34+03:00</dcterms:created>
  <dcterms:modified xsi:type="dcterms:W3CDTF">2026-05-15T00:22:34+03:00</dcterms:modified>
</cp:coreProperties>
</file>

<file path=docProps/custom.xml><?xml version="1.0" encoding="utf-8"?>
<Properties xmlns="http://schemas.openxmlformats.org/officeDocument/2006/custom-properties" xmlns:vt="http://schemas.openxmlformats.org/officeDocument/2006/docPropsVTypes"/>
</file>