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الرحمن بن محمد شهاب الدين ابن قاضي عجلون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الرحمن بن محمد شهاب الدين ابن قاضي عجلون
</w:t>
      </w:r>
    </w:p>
    <w:p>
      <w:pPr/>
      <w:r>
        <w:rPr/>
        <w:t xml:space="preserve">أحمد بن عبد الرحمن بن محمد شهاب الدين ابن قاضي عجلون كاتب السر، بدمشق.</w:t>
      </w:r>
    </w:p>
    <w:p/>
    <w:p>
      <w:pPr/>
      <w:r>
        <w:rPr/>
        <w:t xml:space="preserve">وهو والد قاضي القضاء علاء الدين الحنفي، قاضي دمشق.</w:t>
      </w:r>
    </w:p>
    <w:p/>
    <w:p>
      <w:pPr/>
      <w:r>
        <w:rPr/>
        <w:t xml:space="preserve">توفي سنة 'حدى وستين وثمانمائة، تغمده الله تعالى برحمته.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2026-05-14T22:13:00+03:00</dcterms:created>
  <dcterms:modified xsi:type="dcterms:W3CDTF">2026-05-14T22:13:00+03:00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