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الرحمن بن إسحاق بن أحمد بن عبد الله، أبو نصر، الريغذموني المعروف بالقاضي الجمال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الرحمن بن إسحاق بن أحمد بن عبد الله، أبو نصر، الريغذموني المعروف بالقاضي الجمال
</w:t>
      </w:r>
    </w:p>
    <w:p>
      <w:pPr/>
      <w:r>
        <w:rPr/>
        <w:t xml:space="preserve">أحمد بن عبد الرحمن بن إسحاق بن أحمد بن عبد الله، أبو نصر، الريغذموني المعروف بالقاضي الجمال. كان إماما فاضلا، ولي قضاء بخارى.</w:t>
      </w:r>
    </w:p>
    <w:p/>
    <w:p>
      <w:pPr/>
      <w:r>
        <w:rPr/>
        <w:t xml:space="preserve">وروى عن أحمد بن عبد الله بن الفضل الخيزاخزي، وروى عنه أبو بكر عبد الرحمن ابن محمد النيسابوري، وأبو القاسم محمود بن أبي توبة الوزير، وغيرهما.</w:t>
      </w:r>
    </w:p>
    <w:p/>
    <w:p>
      <w:pPr/>
      <w:r>
        <w:rPr/>
        <w:t xml:space="preserve">وكانت ولادته في شوال، سنة أربع عشرة وأربعمائة.</w:t>
      </w:r>
    </w:p>
    <w:p/>
    <w:p>
      <w:pPr/>
      <w:r>
        <w:rPr/>
        <w:t xml:space="preserve">ووفاته في شهر رمضان، من ثلاث وتسعين وأربعمائة، ببخارى.</w:t>
      </w:r>
    </w:p>
    <w:p/>
    <w:p>
      <w:pPr/>
      <w:r>
        <w:rPr/>
        <w:t xml:space="preserve">والريغذموني، بكسر الراء المهملة، وسكون الياء آخر الحروف، والغين المعجمة، وضم الميم، وسكون الواو، وفي آخرها النون، نسبة إلى ريغذمون، قرية من قرى بخارى. والله تعالى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2026-05-14T22:29:29+03:00</dcterms:created>
  <dcterms:modified xsi:type="dcterms:W3CDTF">2026-05-14T22:29:29+03:00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