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عبيد الله
</w:t>
      </w:r>
    </w:p>
    <w:p>
      <w:pPr/>
      <w:r>
        <w:rPr/>
        <w:t xml:space="preserve">أحمد بن عبيد الله بالتصغير أيضا، ابن عوض بن محمد الشهاب، ابن الجلال، ابن التاج الأردبيلي الشرواني، القاهري</w:t>
      </w:r>
    </w:p>
    <w:p/>
    <w:p>
      <w:pPr/>
      <w:r>
        <w:rPr/>
        <w:t xml:space="preserve">أخو البدر محمود، المعروف بابن عبيد الله.</w:t>
      </w:r>
    </w:p>
    <w:p/>
    <w:p>
      <w:pPr/>
      <w:r>
        <w:rPr/>
        <w:t xml:space="preserve">ولد في صفر، سنة إحدى وتسعين وسبعمائة.</w:t>
      </w:r>
    </w:p>
    <w:p/>
    <w:p>
      <w:pPr/>
      <w:r>
        <w:rPr/>
        <w:t xml:space="preserve">واشتغل قليلا، وتعلم التركية، وتقرب بها عند الدولة، وكان جميل الصورة.</w:t>
      </w:r>
    </w:p>
    <w:p/>
    <w:p>
      <w:pPr/>
      <w:r>
        <w:rPr/>
        <w:t xml:space="preserve">وناب في الحكم عن التفهني، فمن بعده.</w:t>
      </w:r>
    </w:p>
    <w:p/>
    <w:p>
      <w:pPr/>
      <w:r>
        <w:rPr/>
        <w:t xml:space="preserve">ووصف السخاوي، بأنه كان قليل البضاعة في الفقه والمصطلح؛ حفظت عليه عدة أحكام فاسدة.</w:t>
      </w:r>
    </w:p>
    <w:p/>
    <w:p>
      <w:pPr/>
      <w:r>
        <w:rPr/>
        <w:t xml:space="preserve">وذكر نقلا عن أخيه محمود، أنه حفظ ’’ النافع ’’، وأنه درس بالأيتمشية، برغبته له عنها، فلما مات عادت الوظيفة له.</w:t>
      </w:r>
    </w:p>
    <w:p/>
    <w:p>
      <w:pPr/>
      <w:r>
        <w:rPr/>
        <w:t xml:space="preserve">مات بالإسهال الدموي، والقولنج، والصرع، ليلة الأربعاء، ثالث عشري شهر رمضان، سنة أربع وأربعين وثمانمائة،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2026-05-14T22:09:35+03:00</dcterms:created>
  <dcterms:modified xsi:type="dcterms:W3CDTF">2026-05-14T22:09:35+03:00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