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حمزة المشهور بعرب جلبي
</w:t>
      </w:r>
    </w:p>
    <w:p>
      <w:pPr>
        <w:jc w:val="start"/>
        <w:bidi/>
      </w:pPr>
      <w:r>
        <w:rPr>
          <w:rFonts w:ascii="arial" w:hAnsi="arial" w:eastAsia="arial" w:cs="arial"/>
          <w:sz w:val="28"/>
          <w:szCs w:val="28"/>
          <w:b w:val="1"/>
          <w:bCs w:val="1"/>
          <w:rtl/>
        </w:rPr>
        <w:t xml:space="preserve">أحمد بن حمزة المشهور بعرب جلبي
</w:t>
      </w:r>
    </w:p>
    <w:p>
      <w:pPr/>
      <w:r>
        <w:rPr/>
        <w:t xml:space="preserve">أحمد بن حمزة المشهور بعرب جلبي قرأ على المولى موسى جلبي بن أفضل زاده، وغيره من علماء الديار الرومية، ثم رحل إلى القاهرة، واشتغل بها كثيرا، في التفسير، والحديث، والفقه، والأصول، والعربية، وغير ذلك من العلوم، وأجاز له فضلاء تلك الديار، وشهدوا له بالفضيلة.</w:t>
      </w:r>
    </w:p>
    <w:p/>
    <w:p>
      <w:pPr/>
      <w:r>
        <w:rPr/>
        <w:t xml:space="preserve">ثم عاد إلى الديار الرومية، وبنى له الوزير قاسم باشا مدرسة بالقرب من مدرسة أبي أيوب الأنصاري، رضي الله تعالى عنه.</w:t>
      </w:r>
    </w:p>
    <w:p>
      <w:pPr>
        <w:jc w:val="start"/>
        <w:bidi/>
      </w:pPr>
      <w:r>
        <w:rPr>
          <w:sz w:val="24"/>
          <w:szCs w:val="24"/>
          <w:b w:val="1"/>
          <w:bCs w:val="1"/>
          <w:rtl/>
        </w:rPr>
        <w:t xml:space="preserve">
الطبقات السنية في تراجم الحنفية،(دار الرفاعي - الرياض،1983،ط 0،ج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2026-06-13T18:38:45+03:00</dcterms:created>
  <dcterms:modified xsi:type="dcterms:W3CDTF">2026-06-13T18:38:45+03:00</dcterms:modified>
</cp:coreProperties>
</file>

<file path=docProps/custom.xml><?xml version="1.0" encoding="utf-8"?>
<Properties xmlns="http://schemas.openxmlformats.org/officeDocument/2006/custom-properties" xmlns:vt="http://schemas.openxmlformats.org/officeDocument/2006/docPropsVTypes"/>
</file>