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حسن بن محمد بن أحمد، أبو العباس، الحامدي، الدامغاني،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حسن بن محمد بن أحمد، أبو العباس، الحامدي، الدامغاني، القاضي
</w:t>
      </w:r>
    </w:p>
    <w:p>
      <w:pPr/>
      <w:r>
        <w:rPr/>
        <w:t xml:space="preserve">أحمد بن حسن بن محمد بن أحمد، أبو العباس، الحامدي، الدامغاني، القاضي سمع من أبي الحسين بن سمعون، وأبي إسحاق بن يزداد.</w:t>
      </w:r>
    </w:p>
    <w:p/>
    <w:p>
      <w:pPr/>
      <w:r>
        <w:rPr/>
        <w:t xml:space="preserve">ذكره عبد الغافر، في ’’ تاريخ نيسابور ’’ فقال: شيخ من أصحاب أبي حنيفة، ولي قضاء دامغان فأحسن سيرته، وسمع بالعراق، وخراسان.</w:t>
      </w:r>
    </w:p>
    <w:p/>
    <w:p>
      <w:pPr/>
      <w:r>
        <w:rPr/>
        <w:t xml:space="preserve">قاله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