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سعيد
</w:t>
      </w:r>
    </w:p>
    <w:p>
      <w:pPr/>
      <w:r>
        <w:rPr/>
        <w:t xml:space="preserve">أحمد بن أبي سعيد أحمد بن أبي الخطاب محمد بن إبراهيم بن علي، القاضي الطبري، البخاري، الكعبي</w:t>
      </w:r>
    </w:p>
    <w:p/>
    <w:p>
      <w:pPr/>
      <w:r>
        <w:rPr/>
        <w:t xml:space="preserve">الإمام العلامة.</w:t>
      </w:r>
    </w:p>
    <w:p/>
    <w:p>
      <w:pPr/>
      <w:r>
        <w:rPr/>
        <w:t xml:space="preserve">مولده سنة ست وتسعين وأربعمائة.</w:t>
      </w:r>
    </w:p>
    <w:p/>
    <w:p>
      <w:pPr/>
      <w:r>
        <w:rPr/>
        <w:t xml:space="preserve">وكانت له اليد الطولى في علم الخلاف، والنظر.</w:t>
      </w:r>
    </w:p>
    <w:p/>
    <w:p>
      <w:pPr/>
      <w:r>
        <w:rPr/>
        <w:t xml:space="preserve">وتفقه على والده، وعلى الإمام البرهان.</w:t>
      </w:r>
    </w:p>
    <w:p/>
    <w:p>
      <w:pPr/>
      <w:r>
        <w:rPr/>
        <w:t xml:space="preserve">وروى عنه أبو المظفر السمعاني، وقال: هو أستاذي في علم الخلاف.</w:t>
      </w:r>
    </w:p>
    <w:p/>
    <w:p>
      <w:pPr/>
      <w:r>
        <w:rPr/>
        <w:t xml:space="preserve">ذكره الحاكم في ’’ تاريخ نيسابور ’’، فقال: درس بنيسابور فقه الإمام أبي حنيفة نيفا وستين سنة، وأفتى قريبا من هذا، وحدث سنتين.</w:t>
      </w:r>
    </w:p>
    <w:p/>
    <w:p>
      <w:pPr/>
      <w:r>
        <w:rPr/>
        <w:t xml:space="preserve">ومات تقريبا في عشر الستين وخمسمائة. رحمه الله تعالى.</w:t>
      </w:r>
    </w:p>
    <w:p/>
    <w:p>
      <w:pPr/>
      <w:r>
        <w:rPr/>
        <w:t xml:space="preserve">وإنما ذكرته هنا، ولم أذكره فيمن اسمه أحمد بن أحمد؛ لغلبة الكنية على اسم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2026-05-14T19:44:31+03:00</dcterms:created>
  <dcterms:modified xsi:type="dcterms:W3CDTF">2026-05-14T19:44:31+03:00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