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الحارث
</w:t>
      </w:r>
    </w:p>
    <w:p>
      <w:pPr/>
      <w:r>
        <w:rPr/>
        <w:t xml:space="preserve">أحمد بن أبي الحارث *قال الجرجاني في ’’ الخزانة ’’: قال أبو العباس الناطفي: رأيت بخط بعض مشايخنا في رجل جعل أحد بنيه دارا بنصيبه، على أن لا يكون له بعد موت الأب ميراث. جاز.</w:t>
      </w:r>
    </w:p>
    <w:p/>
    <w:p>
      <w:pPr/>
      <w:r>
        <w:rPr/>
        <w:t xml:space="preserve">وأفتى به الفقيه أبو جعفر محمد بن اليمان، أحد أصحاب محمد بن شجاع الثلجي.</w:t>
      </w:r>
    </w:p>
    <w:p/>
    <w:p>
      <w:pPr/>
      <w:r>
        <w:rPr/>
        <w:t xml:space="preserve">وحكى ذلك أصحاب احمد بن أبي الحارث، وأبي عمرو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2026-05-14T19:44:59+03:00</dcterms:created>
  <dcterms:modified xsi:type="dcterms:W3CDTF">2026-05-14T19:44:59+03:00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