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أبي بكر بن محمد العبادي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بكر بن محمد العبادي
</w:t>
      </w:r>
    </w:p>
    <w:p>
      <w:pPr/>
      <w:r>
        <w:rPr/>
        <w:t xml:space="preserve">أحمد بن أبي بكر بن محمد العبادي نسبة لمنية عباد، قرية بالغربية.</w:t>
      </w:r>
    </w:p>
    <w:p/>
    <w:p>
      <w:pPr/>
      <w:r>
        <w:rPr/>
        <w:t xml:space="preserve">قال ابن حجر: تفقه على السراج الهندي.</w:t>
      </w:r>
    </w:p>
    <w:p/>
    <w:p>
      <w:pPr/>
      <w:r>
        <w:rPr/>
        <w:t xml:space="preserve">وفضل، ودرس، وشغل.</w:t>
      </w:r>
    </w:p>
    <w:p/>
    <w:p>
      <w:pPr/>
      <w:r>
        <w:rPr/>
        <w:t xml:space="preserve">ثم صاهر القليجي، وناب في الحكم، ووقع على القضاة.</w:t>
      </w:r>
    </w:p>
    <w:p/>
    <w:p>
      <w:pPr/>
      <w:r>
        <w:rPr/>
        <w:t xml:space="preserve">ودرس بمدرسة الناصر حسن، وكان يجمع الطلبة، ويحسن إليهم.</w:t>
      </w:r>
    </w:p>
    <w:p/>
    <w:p>
      <w:pPr/>
      <w:r>
        <w:rPr/>
        <w:t xml:space="preserve">وحصلت له محنة مع السالمي، ثم أخرى مع الملك الظاهر.</w:t>
      </w:r>
    </w:p>
    <w:p/>
    <w:p>
      <w:pPr/>
      <w:r>
        <w:rPr/>
        <w:t xml:space="preserve">ومات في ثامن عشر أو تاسع عشر شهر ربيع الآخر، سنة إحدى وثمانمائة، رحمه الله تعالى.</w:t>
      </w:r>
    </w:p>
    <w:p/>
    <w:p>
      <w:pPr/>
      <w:r>
        <w:rPr/>
        <w:t xml:space="preserve">وقال في ’’ المنهل ’’: كان إما علامة، بارعا، فقيها، نحويا، من أهيان فقهاء الحنفية.</w:t>
      </w:r>
    </w:p>
    <w:p/>
    <w:p>
      <w:pPr/>
      <w:r>
        <w:rPr/>
        <w:t xml:space="preserve">ودرس، وأفتى، عدة سنين، في علوم كثيرة.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2026-05-14T19:46:29+03:00</dcterms:created>
  <dcterms:modified xsi:type="dcterms:W3CDTF">2026-05-14T19:46:29+03:00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