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إسماعيل، شهاب الدين،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إسماعيل، شهاب الدين، الرومي
</w:t>
      </w:r>
    </w:p>
    <w:p>
      <w:pPr/>
      <w:r>
        <w:rPr/>
        <w:t xml:space="preserve">أحمد بن إسماعيل، شهاب الدين، الرومي سمع ’’ الصحيح ’’ من ست الوزراء، وابن الشحنة.</w:t>
      </w:r>
    </w:p>
    <w:p/>
    <w:p>
      <w:pPr/>
      <w:r>
        <w:rPr/>
        <w:t xml:space="preserve">وناب في الحكم عن جمال الدين ابن التركماني.</w:t>
      </w:r>
    </w:p>
    <w:p/>
    <w:p>
      <w:pPr/>
      <w:r>
        <w:rPr/>
        <w:t xml:space="preserve">وولي قضاء منية الشيرج، والمرج.</w:t>
      </w:r>
    </w:p>
    <w:p/>
    <w:p>
      <w:pPr/>
      <w:r>
        <w:rPr/>
        <w:t xml:space="preserve">ومات في ثاني عشر ذي الحجة، سنة ستين وسبعمائة،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2026-05-14T19:46:44+03:00</dcterms:created>
  <dcterms:modified xsi:type="dcterms:W3CDTF">2026-05-14T19:46:44+03:00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