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" بن محمد " بن أحمد بن إسحاق بن عبد الرحمن بن يزيد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" بن محمد " بن أحمد بن إسحاق بن عبد الرحمن بن يزيد بن موسى
</w:t>
      </w:r>
    </w:p>
    <w:p>
      <w:pPr/>
      <w:r>
        <w:rPr/>
        <w:t xml:space="preserve">أحمد بن إسحاق " بن محمد " بن أحمد بن إسحاق بن عبد الرحمن بن يزيد بن موسى، أبو جعفر، الإصطخري، الحلبي</w:t>
      </w:r>
    </w:p>
    <w:p/>
    <w:p>
      <w:pPr/>
      <w:r>
        <w:rPr/>
        <w:t xml:space="preserve">قاضي حلب، الملقب بالجرذ.</w:t>
      </w:r>
    </w:p>
    <w:p/>
    <w:p>
      <w:pPr/>
      <w:r>
        <w:rPr/>
        <w:t xml:space="preserve">حدث ببغداد ومصر، وحلب، عن محمد بن معاذ المعروف ببدران، وأبي عبد الله أحمد ابن خليل الكندي الحلبي.</w:t>
      </w:r>
    </w:p>
    <w:p/>
    <w:p>
      <w:pPr/>
      <w:r>
        <w:rPr/>
        <w:t xml:space="preserve">روى عنه ابن أخيه علي بن محمد بن إسحاق القاضي.</w:t>
      </w:r>
    </w:p>
    <w:p/>
    <w:p>
      <w:pPr/>
      <w:r>
        <w:rPr/>
        <w:t xml:space="preserve">ذكره الخطيب.</w:t>
      </w:r>
    </w:p>
    <w:p/>
    <w:p>
      <w:pPr/>
      <w:r>
        <w:rPr/>
        <w:t xml:space="preserve">وذكره ابن عساكر، وقال: قضى بحلب في أيام سيف الدولة ابن حمدان.</w:t>
      </w:r>
    </w:p>
    <w:p/>
    <w:p>
      <w:pPr/>
      <w:r>
        <w:rPr/>
        <w:t xml:space="preserve">كذا ذكره عبد القادر في ’’ الجواهر ’’.</w:t>
      </w:r>
    </w:p>
    <w:p/>
    <w:p>
      <w:pPr/>
      <w:r>
        <w:rPr/>
        <w:t xml:space="preserve">وذكره الذهبي، فيمن توفي في حدود سنة 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2026-05-14T19:48:36+03:00</dcterms:created>
  <dcterms:modified xsi:type="dcterms:W3CDTF">2026-05-14T19:48:36+03:00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