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الفقيه
</w:t>
      </w:r>
    </w:p>
    <w:p>
      <w:pPr/>
      <w:r>
        <w:rPr/>
        <w:t xml:space="preserve">أحمد بن إبراهيم الفقيه قال في ’’ الجواهر ’’: هكذا هو مذكور في ’’ الذخيرة ’’.</w:t>
      </w:r>
    </w:p>
    <w:p/>
    <w:p>
      <w:pPr/>
      <w:r>
        <w:rPr/>
        <w:t xml:space="preserve">*وحكى عنه فرعا، وهو أن من غسل وجهه، وغمض عينيه شديدا، لا يجوز وضوءه.</w:t>
      </w:r>
    </w:p>
    <w:p/>
    <w:p>
      <w:pPr/>
      <w:r>
        <w:rPr/>
        <w:t xml:space="preserve">ولعله الذي قبله.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2026-05-14T19:45:38+03:00</dcterms:created>
  <dcterms:modified xsi:type="dcterms:W3CDTF">2026-05-14T19:45:38+03:00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