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الكركي الحنفي المصري، قاضي القضاة، برهان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الكركي الحنفي المصري، قاضي القضاة، برهان الدين
</w:t>
      </w:r>
    </w:p>
    <w:p>
      <w:pPr/>
      <w:r>
        <w:rPr/>
        <w:t xml:space="preserve">إبراهيم بن الكركي الحنفي المصري، قاضي القضاة، برهان الدين ولي قضاء الديار المصرية عوضا عن عبد البر ابن الشحنة، سادس عشر رجب، سنة ثمان عشرة وتسعمائة، وكان له نهار مشهور.</w:t>
      </w:r>
    </w:p>
    <w:p/>
    <w:p>
      <w:pPr/>
      <w:r>
        <w:rPr/>
        <w:t xml:space="preserve">وتوفي سنة ثلاث وعشرين وصلى عليه الغائب بدمشق.</w:t>
      </w:r>
    </w:p>
    <w:p/>
    <w:p>
      <w:pPr/>
      <w:r>
        <w:rPr/>
        <w:t xml:space="preserve">كذا نقلته من ’’ الغرف العلية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2026-05-14T19:49:59+03:00</dcterms:created>
  <dcterms:modified xsi:type="dcterms:W3CDTF">2026-05-14T19:49:59+03:00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