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يوسف بن علي البرهان، أبو إسحاق، القاهري، الحنفي، المعروف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يوسف بن علي البرهان، أبو إسحاق، القاهري، الحنفي، المعروف
</w:t>
      </w:r>
    </w:p>
    <w:p>
      <w:pPr/>
      <w:r>
        <w:rPr/>
        <w:t xml:space="preserve">إبراهيم بن يوسف بن علي البرهان، أبو إسحاق، القاهري، الحنفي، المعروف، بابن العداس</w:t>
      </w:r>
    </w:p>
    <w:p/>
    <w:p>
      <w:pPr/>
      <w:r>
        <w:rPr/>
        <w:t xml:space="preserve">ولد تقريبا في العشر الأوسط من شهر رمضان، سنة إحددى وأربعين وسبعمائة.</w:t>
      </w:r>
    </w:p>
    <w:p/>
    <w:p>
      <w:pPr/>
      <w:r>
        <w:rPr/>
        <w:t xml:space="preserve">واشتغل بالفقه، والقراءات، وغيرهما.</w:t>
      </w:r>
    </w:p>
    <w:p/>
    <w:p>
      <w:pPr/>
      <w:r>
        <w:rPr/>
        <w:t xml:space="preserve">وقرأ على السيخ أكمل الدين ’’ شرحه للهدايا ’’، وغيره، وعلى التقي ابن البغدادي ’’ الصحيحين ’’، وعلى الجمال ابن خير أولهما.</w:t>
      </w:r>
    </w:p>
    <w:p/>
    <w:p>
      <w:pPr/>
      <w:r>
        <w:rPr/>
        <w:t xml:space="preserve">وفضل بحيث ناب في القضاء.</w:t>
      </w:r>
    </w:p>
    <w:p/>
    <w:p>
      <w:pPr/>
      <w:r>
        <w:rPr/>
        <w:t xml:space="preserve">وحدث، سمع منه الزين رضوان، والشمس محمد بن علي بن محمد بن عبد الكريم الفوي.</w:t>
      </w:r>
    </w:p>
    <w:p/>
    <w:p>
      <w:pPr/>
      <w:r>
        <w:rPr/>
        <w:t xml:space="preserve">وروى عنه بالإجازة التقى السمني.</w:t>
      </w:r>
    </w:p>
    <w:p/>
    <w:p>
      <w:pPr/>
      <w:r>
        <w:rPr/>
        <w:t xml:space="preserve">مات في ليلة الاثنين، سابع جمادى الآخرة، سنة ثمان وثمانمائة،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2026-05-14T19:01:11+03:00</dcterms:created>
  <dcterms:modified xsi:type="dcterms:W3CDTF">2026-05-14T19:01:11+03:00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