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محمد، أبو إسحاق، الموصلي، القاضي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محمد، أبو إسحاق، الموصلي، القاضي
</w:t>
      </w:r>
    </w:p>
    <w:p>
      <w:pPr/>
      <w:r>
        <w:rPr/>
        <w:t xml:space="preserve">إبراهيم بن محمد، أبو إسحاق، الموصلي، القاضي قال في ’’ الجواهر ’’: درس بالمدرسة الصادرية.</w:t>
      </w:r>
    </w:p>
    <w:p/>
    <w:p>
      <w:pPr/>
      <w:r>
        <w:rPr/>
        <w:t xml:space="preserve">ومات سنة ستين وخمسمائة.</w:t>
      </w:r>
    </w:p>
    <w:p/>
    <w:p>
      <w:pPr/>
      <w:r>
        <w:rPr/>
        <w:t xml:space="preserve">ذكره الذهبي في ’’ تاريخه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2026-05-14T18:52:36+03:00</dcterms:created>
  <dcterms:modified xsi:type="dcterms:W3CDTF">2026-05-14T18:52:36+03:00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