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سالم الهيتي القاضي،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سالم الهيتي القاضي، الإمام
</w:t>
      </w:r>
    </w:p>
    <w:p>
      <w:pPr/>
      <w:r>
        <w:rPr/>
        <w:t xml:space="preserve">إبراهيم بن محمد بن سالم الهيتي القاضي، الإمام عم محمد بن نصر الله بن سالم الهيتي، وجد إبراهيم بن محمد الأنصاري، المتقدم ذكره قريبا.</w:t>
      </w:r>
    </w:p>
    <w:p/>
    <w:p>
      <w:pPr/>
      <w:r>
        <w:rPr/>
        <w:t xml:space="preserve">كان مقيما بمشهد أبي حنيفة، رضي الله عنه.</w:t>
      </w:r>
    </w:p>
    <w:p/>
    <w:p>
      <w:pPr/>
      <w:r>
        <w:rPr/>
        <w:t xml:space="preserve">وهو أستاذ الصفار المروزي.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2026-05-14T18:53:43+03:00</dcterms:created>
  <dcterms:modified xsi:type="dcterms:W3CDTF">2026-05-14T18:53:43+03:00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