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بن علي بن عمر بن محمد بن أبي بكر العلوي الفقيه، المحدث،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علي بن عمر بن محمد بن أبي بكر العلوي الفقيه، المحدث، أبو إسحاق
</w:t>
      </w:r>
    </w:p>
    <w:p>
      <w:pPr/>
      <w:r>
        <w:rPr/>
        <w:t xml:space="preserve">إبراهيم بن عمر بن علي بن عمر بن محمد بن أبي بكر العلوي الفقيه، المحدث، أبو إسحاق قال الخزرجي: كان فقيها نبيها، حنفي المذهب، عارفا، محققا، وإليه انتهت الرياسة في علم الحديث باليمن.</w:t>
      </w:r>
    </w:p>
    <w:p/>
    <w:p>
      <w:pPr/>
      <w:r>
        <w:rPr/>
        <w:t xml:space="preserve">وأخذ عن كبار العلماء كابن أبي الخير الشماخي، وإبراهيم بن محمد الطبري، والحجار، وغيرهم.</w:t>
      </w:r>
    </w:p>
    <w:p/>
    <w:p>
      <w:pPr/>
      <w:r>
        <w:rPr/>
        <w:t xml:space="preserve">وعنه أخذ فقهاء العصر، وإليه كانت الرحلة منالآفاق، وحضر مجلسة جلة العلماء.</w:t>
      </w:r>
    </w:p>
    <w:p/>
    <w:p>
      <w:pPr/>
      <w:r>
        <w:rPr/>
        <w:t xml:space="preserve">وكان جامعا بين فضيلتي العلم والعمل، وكان متواضعا، سهل الأخلاق، كثير البشاشة، مسموع القول، له قبول عظيم عند الخاص والعام.</w:t>
      </w:r>
    </w:p>
    <w:p/>
    <w:p>
      <w:pPr/>
      <w:r>
        <w:rPr/>
        <w:t xml:space="preserve">درس في مدرسة أم السلطان المجاهد بزبيد.</w:t>
      </w:r>
    </w:p>
    <w:p/>
    <w:p>
      <w:pPr/>
      <w:r>
        <w:rPr/>
        <w:t xml:space="preserve">وكان ميلاده سنة ثلاث وتسعين وستمائة.</w:t>
      </w:r>
    </w:p>
    <w:p/>
    <w:p>
      <w:pPr/>
      <w:r>
        <w:rPr/>
        <w:t xml:space="preserve">وتوفي ليلة السبت، عشري ذي الحجة، سنة اثنين وخمسين وسبعمائة.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2026-05-14T18:03:32+03:00</dcterms:created>
  <dcterms:modified xsi:type="dcterms:W3CDTF">2026-05-14T18:03:32+03:00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