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 بن حماد بن أبي حنيفة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 بن حماد بن أبي حنيفة
</w:t>
      </w:r>
    </w:p>
    <w:p>
      <w:pPr/>
      <w:r>
        <w:rPr/>
        <w:t xml:space="preserve">إبراهيم بن عمر بن حماد بن أبي حنيفة روى عنه أنه قال: قال أبو حنيفة: لا يكتني بكنيتي بعدي إلا مجنون.</w:t>
      </w:r>
    </w:p>
    <w:p/>
    <w:p>
      <w:pPr/>
      <w:r>
        <w:rPr/>
        <w:t xml:space="preserve">قال: فرأينا عدة اكتنوا بها، فكان في عقولهم ضعف.</w:t>
      </w:r>
    </w:p>
    <w:p/>
    <w:p>
      <w:pPr/>
      <w:r>
        <w:rPr/>
        <w:t xml:space="preserve">وسيأتي كل من عمر وحماد، في بابه،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2026-05-14T17:59:57+03:00</dcterms:created>
  <dcterms:modified xsi:type="dcterms:W3CDTF">2026-05-14T17:59:57+03:00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