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عبد المنعم بن هبة الله بن محمد بن هبة الله بن محمد بن عبد الباقي، الشهير بابن أمين الدولة أبو إسحاق، الحلبي
</w:t>
      </w:r>
    </w:p>
    <w:p>
      <w:pPr>
        <w:jc w:val="start"/>
        <w:bidi/>
      </w:pPr>
      <w:r>
        <w:rPr>
          <w:rFonts w:ascii="arial" w:hAnsi="arial" w:eastAsia="arial" w:cs="arial"/>
          <w:sz w:val="28"/>
          <w:szCs w:val="28"/>
          <w:b w:val="1"/>
          <w:bCs w:val="1"/>
          <w:rtl/>
        </w:rPr>
        <w:t xml:space="preserve">إبراهيم بن عبد الله بن عبد المنعم بن هبة الله بن محمد بن هبة الله بن محمد بن عبد الباقي، الشهير بابن أمين الدولة أبو إسحاق، الحلبي
</w:t>
      </w:r>
    </w:p>
    <w:p>
      <w:pPr/>
      <w:r>
        <w:rPr/>
        <w:t xml:space="preserve">إبراهيم بن عبد الله بن عبد المنعم بن هبة الله بن محمد بن هبة الله بن محمد بن عبد الباقي، الشهير بابن أمين الدولة أبو إسحاق، الحلبي من بيت الرياسة والتقدم.</w:t>
      </w:r>
    </w:p>
    <w:p/>
    <w:p>
      <w:pPr/>
      <w:r>
        <w:rPr/>
        <w:t xml:space="preserve">مولده بحلب، سنة عشرين وستمائة.</w:t>
      </w:r>
    </w:p>
    <w:p/>
    <w:p>
      <w:pPr/>
      <w:r>
        <w:rPr/>
        <w:t xml:space="preserve">ذكره البرزالي في ’’ معجم شيوخه ’’، وقال: سمع من أبي خليل، ودخل بغداد، وسمع بها من الكشغري، ودرس بالحلاوية بحلب.</w:t>
      </w:r>
    </w:p>
    <w:p/>
    <w:p>
      <w:pPr/>
      <w:r>
        <w:rPr/>
        <w:t xml:space="preserve">قال: وكان شيخا حسنا، فقيها على مذهب أبي حنيفة.</w:t>
      </w:r>
    </w:p>
    <w:p/>
    <w:p>
      <w:pPr/>
      <w:r>
        <w:rPr/>
        <w:t xml:space="preserve">مات بالقاهرة، سنة إحدى وتسعين وستمائة، وصلي عليه بجامع الحاكم، ودفن بباب النصر، رحمه الله تعالى.</w:t>
      </w:r>
    </w:p>
    <w:p/>
    <w:p>
      <w:pPr/>
      <w:r>
        <w:rPr/>
        <w:t xml:space="preserve">وذكره ابن حبيب، وأثنى عليه، فقال: عالم تجلى بدر كماله، وتحلى جيد الطرس بدر مقاله، وطاب محتده، وأناف مجده وسؤدده.</w:t>
      </w:r>
    </w:p>
    <w:p/>
    <w:p>
      <w:pPr/>
      <w:r>
        <w:rPr/>
        <w:t xml:space="preserve">سمع بحلب وبغداد ومكة، ونظم بسلك أهل الحديث النبوي سلكة، واجتهد فيما هو من العلم بصدده، وباشر تدريس الحلاوية المجاورة لجامع بلده.</w:t>
      </w:r>
    </w:p>
    <w:p>
      <w:pPr>
        <w:jc w:val="start"/>
        <w:bidi/>
      </w:pPr>
      <w:r>
        <w:rPr>
          <w:sz w:val="24"/>
          <w:szCs w:val="24"/>
          <w:b w:val="1"/>
          <w:bCs w:val="1"/>
          <w:rtl/>
        </w:rPr>
        <w:t xml:space="preserve">
الطبقات السنية في تراجم الحنفية،(دار الرفاعي - الرياض،1983،ط 0،ج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2026-06-13T18:54:13+03:00</dcterms:created>
  <dcterms:modified xsi:type="dcterms:W3CDTF">2026-06-13T18:54:13+03:00</dcterms:modified>
</cp:coreProperties>
</file>

<file path=docProps/custom.xml><?xml version="1.0" encoding="utf-8"?>
<Properties xmlns="http://schemas.openxmlformats.org/officeDocument/2006/custom-properties" xmlns:vt="http://schemas.openxmlformats.org/officeDocument/2006/docPropsVTypes"/>
</file>