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سليمان بن عبد الله أبو إسحاق، التميمي، الصرخدي،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سليمان بن عبد الله أبو إسحاق، التميمي، الصرخدي، الفقيه
</w:t>
      </w:r>
    </w:p>
    <w:p>
      <w:pPr/>
      <w:r>
        <w:rPr/>
        <w:t xml:space="preserve">إبراهيم بن سليمان بن عبد الله أبو إسحاق، التميمي، الصرخدي، الفقيه خطيب صرخد أنشأ خطبا مليحة، وله ترسل وشعر.</w:t>
      </w:r>
    </w:p>
    <w:p/>
    <w:p>
      <w:pPr/>
      <w:r>
        <w:rPr/>
        <w:t xml:space="preserve">مات بصرخد، سنة سبع عشرة وستمائة، وقد بلغ أربعا وخمسين سنة.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2026-06-13T18:51:51+03:00</dcterms:created>
  <dcterms:modified xsi:type="dcterms:W3CDTF">2026-06-13T18:51:51+03:00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