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أحمد بن يوسف ابن محمد، برهان الدين، بن القاضي شهاب الدين أبي العباس، بن قاضي الجماعة الجمالي أبي المحاسن الدمشقي، ويعرف بابن القطب
</w:t>
      </w:r>
    </w:p>
    <w:p>
      <w:pPr>
        <w:jc w:val="start"/>
        <w:bidi/>
      </w:pPr>
      <w:r>
        <w:rPr>
          <w:rFonts w:ascii="arial" w:hAnsi="arial" w:eastAsia="arial" w:cs="arial"/>
          <w:sz w:val="28"/>
          <w:szCs w:val="28"/>
          <w:b w:val="1"/>
          <w:bCs w:val="1"/>
          <w:rtl/>
        </w:rPr>
        <w:t xml:space="preserve">إبراهيم بن أحمد بن يوسف ابن محمد، برهان الدين، بن القاضي شهاب الدين أبي العباس، بن قاضي الجماعة الجمالي أبي المحاسن الدمشقي، ويعرف بابن القطب
</w:t>
      </w:r>
    </w:p>
    <w:p>
      <w:pPr/>
      <w:r>
        <w:rPr/>
        <w:t xml:space="preserve">إبراهيم بن أحمد بن يوسف ابن محمد، برهان الدين، بن القاضي شهاب الدين أبي العباس، بن قاضي الجماعة الجمالي أبي المحاسن الدمشقي، ويعرف بابن القطب سمع الحديث وناب في قضاء النفية، ثم خطب للقضاء استقلالا ببذل شيء فأبى ذلك، فحبس، وضيق عليه إلى أن أجاب، وولي قضاء مصر استقلالا.</w:t>
      </w:r>
    </w:p>
    <w:p/>
    <w:p>
      <w:pPr/>
      <w:r>
        <w:rPr/>
        <w:t xml:space="preserve">وكان قبل ذلك قد طلب إلى القاهرة، وأخذ عنه بعض الطلبة.</w:t>
      </w:r>
    </w:p>
    <w:p/>
    <w:p>
      <w:pPr/>
      <w:r>
        <w:rPr/>
        <w:t xml:space="preserve">ومات سنة ثمان وتسعين وثمانمائة، رحمه الله تعالى.</w:t>
      </w:r>
    </w:p>
    <w:p/>
    <w:p>
      <w:pPr/>
      <w:r>
        <w:rPr/>
        <w:t xml:space="preserve">كذا ذكره السخاوي.</w:t>
      </w:r>
    </w:p>
    <w:p/>
    <w:p>
      <w:pPr/>
      <w:r>
        <w:rPr/>
        <w:t xml:space="preserve">وذكره في ’’ الغرف العلية ’’، فقال: ولد سنة سبع وعشرين وثمانمائة، واشتغل، وحصل، وبرع، وأخذ عن العلامة حميد الدين الحنفي.</w:t>
      </w:r>
    </w:p>
    <w:p/>
    <w:p>
      <w:pPr/>
      <w:r>
        <w:rPr/>
        <w:t xml:space="preserve">ودرس، وأفتى، وناب في الحكم.</w:t>
      </w:r>
    </w:p>
    <w:p/>
    <w:p>
      <w:pPr/>
      <w:r>
        <w:rPr/>
        <w:t xml:space="preserve">ولما عين لقضاء الحنفية استقلالا امتنع من قبوله، مع أهليته الزائدة، فحبس إلى أن قبله، وسار في الناس سيرة حسنة، وصار يأمر بالمعروف، وينهى عن المنكر، على حسب ما يقتضيه زمانه.</w:t>
      </w:r>
    </w:p>
    <w:p/>
    <w:p>
      <w:pPr/>
      <w:r>
        <w:rPr/>
        <w:t xml:space="preserve">وذكر أنه قرأ عليه، وأنه مات في التاريخ المذكور. انتهى.</w:t>
      </w:r>
    </w:p>
    <w:p>
      <w:pPr>
        <w:jc w:val="start"/>
        <w:bidi/>
      </w:pPr>
      <w:r>
        <w:rPr>
          <w:sz w:val="24"/>
          <w:szCs w:val="24"/>
          <w:b w:val="1"/>
          <w:bCs w:val="1"/>
          <w:rtl/>
        </w:rPr>
        <w:t xml:space="preserve">
الطبقات السنية في تراجم الحنفية،(دار الرفاعي - الرياض،1983،ط 0،ج 1،ص 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2026-05-14T17:07:46+03:00</dcterms:created>
  <dcterms:modified xsi:type="dcterms:W3CDTF">2026-05-14T17:07:46+03:00</dcterms:modified>
</cp:coreProperties>
</file>

<file path=docProps/custom.xml><?xml version="1.0" encoding="utf-8"?>
<Properties xmlns="http://schemas.openxmlformats.org/officeDocument/2006/custom-properties" xmlns:vt="http://schemas.openxmlformats.org/officeDocument/2006/docPropsVTypes"/>
</file>