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محمد بن عجلان
</w:t>
      </w:r>
    </w:p>
    <w:p>
      <w:pPr>
        <w:jc w:val="start"/>
        <w:bidi/>
      </w:pPr>
      <w:r>
        <w:rPr>
          <w:rFonts w:ascii="arial" w:hAnsi="arial" w:eastAsia="arial" w:cs="arial"/>
          <w:sz w:val="28"/>
          <w:szCs w:val="28"/>
          <w:b w:val="1"/>
          <w:bCs w:val="1"/>
          <w:rtl/>
        </w:rPr>
        <w:t xml:space="preserve">يحيى بن محمد بن عجلان
</w:t>
      </w:r>
    </w:p>
    <w:p>
      <w:pPr/>
      <w:r>
        <w:rPr/>
        <w:t xml:space="preserve">يحيى بن محمد بن عجلان من أهل سرقسطة سمعا من سحنون وكان أحمد فقيها ويحيى مشهورا بالعلم والفضل بصيرا بالفرائض والحساب وألف في ذلك تأليفا أخذه الناس عنه روى عنهما محمد بن تليد المعافري.</w:t>
      </w:r>
    </w:p>
    <w:p>
      <w:pPr>
        <w:jc w:val="start"/>
        <w:bidi/>
      </w:pPr>
      <w:r>
        <w:rPr>
          <w:sz w:val="24"/>
          <w:szCs w:val="24"/>
          <w:b w:val="1"/>
          <w:bCs w:val="1"/>
          <w:rtl/>
        </w:rPr>
        <w:t xml:space="preserve">
الديباج المذهب في معرفة أعيان علماء المذهب،(دار التراث للطبع والنشر - القاهرة،2005،ط 1،ج 2،ص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2026-05-14T15:50:15+03:00</dcterms:created>
  <dcterms:modified xsi:type="dcterms:W3CDTF">2026-05-14T15:50:15+03:00</dcterms:modified>
</cp:coreProperties>
</file>

<file path=docProps/custom.xml><?xml version="1.0" encoding="utf-8"?>
<Properties xmlns="http://schemas.openxmlformats.org/officeDocument/2006/custom-properties" xmlns:vt="http://schemas.openxmlformats.org/officeDocument/2006/docPropsVTypes"/>
</file>