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محمد بن عبد العزيز يعرف بابن الجواز
</w:t>
      </w:r>
    </w:p>
    <w:p>
      <w:pPr>
        <w:jc w:val="start"/>
        <w:bidi/>
      </w:pPr>
      <w:r>
        <w:rPr>
          <w:rFonts w:ascii="arial" w:hAnsi="arial" w:eastAsia="arial" w:cs="arial"/>
          <w:sz w:val="28"/>
          <w:szCs w:val="28"/>
          <w:b w:val="1"/>
          <w:bCs w:val="1"/>
          <w:rtl/>
        </w:rPr>
        <w:t xml:space="preserve">يحيى بن محمد بن عبد العزيز يعرف بابن الجواز
</w:t>
      </w:r>
    </w:p>
    <w:p>
      <w:pPr/>
      <w:r>
        <w:rPr/>
        <w:t xml:space="preserve">يحيى بن محمد بن عبد العزيز يعرف بابن الجواز سمع من رجال الأندلس ثم رحل وحج سنة اثنتين وخمسين ومائتين وسمع هناك من جماعة بمصر وغيرها كمحمد بن عبد الله بن عبد الحكم وغيره ثم رجع وكان من العلماء الفضلاء. توفي سنة سبع وتسعين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2،ص 360)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2026-05-14T16:00:17+03:00</dcterms:created>
  <dcterms:modified xsi:type="dcterms:W3CDTF">2026-05-14T16:00:17+03:00</dcterms:modified>
</cp:coreProperties>
</file>

<file path=docProps/custom.xml><?xml version="1.0" encoding="utf-8"?>
<Properties xmlns="http://schemas.openxmlformats.org/officeDocument/2006/custom-properties" xmlns:vt="http://schemas.openxmlformats.org/officeDocument/2006/docPropsVTypes"/>
</file>