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علي بن محمد بن عمر الجذلي يكنى أبا بكر
</w:t>
      </w:r>
    </w:p>
    <w:p>
      <w:pPr>
        <w:jc w:val="start"/>
        <w:bidi/>
      </w:pPr>
      <w:r>
        <w:rPr>
          <w:rFonts w:ascii="arial" w:hAnsi="arial" w:eastAsia="arial" w:cs="arial"/>
          <w:sz w:val="28"/>
          <w:szCs w:val="28"/>
          <w:b w:val="1"/>
          <w:bCs w:val="1"/>
          <w:rtl/>
        </w:rPr>
        <w:t xml:space="preserve">يحيى بن علي بن محمد بن عمر الجذلي يكنى أبا بكر
</w:t>
      </w:r>
    </w:p>
    <w:p>
      <w:pPr/>
      <w:r>
        <w:rPr/>
        <w:t xml:space="preserve">يحيى بن علي بن محمد بن عمر الجذلي يكنى أبا بكر من أهل المعرفة الجيدة والحفظ للمسائل والتفنن فيها عرض المدونة على القاضي أبي الوليد بن رشد وعلى الفقيه أصبغ بن محمد وبلغ الغاية في المعرفة بالوثائق.</w:t>
      </w:r>
    </w:p>
    <w:p>
      <w:pPr>
        <w:jc w:val="start"/>
        <w:bidi/>
      </w:pPr>
      <w:r>
        <w:rPr>
          <w:sz w:val="24"/>
          <w:szCs w:val="24"/>
          <w:b w:val="1"/>
          <w:bCs w:val="1"/>
          <w:rtl/>
        </w:rPr>
        <w:t xml:space="preserve">
الديباج المذهب في معرفة أعيان علماء المذهب،(دار التراث للطبع والنشر - القاهرة،2005،ط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2026-05-14T15:55:16+03:00</dcterms:created>
  <dcterms:modified xsi:type="dcterms:W3CDTF">2026-05-14T15:55:16+03:00</dcterms:modified>
</cp:coreProperties>
</file>

<file path=docProps/custom.xml><?xml version="1.0" encoding="utf-8"?>
<Properties xmlns="http://schemas.openxmlformats.org/officeDocument/2006/custom-properties" xmlns:vt="http://schemas.openxmlformats.org/officeDocument/2006/docPropsVTypes"/>
</file>