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الرحمن بن أحمد بن ربيع الأشعري يكنى أبا عامر
</w:t>
      </w:r>
    </w:p>
    <w:p>
      <w:pPr>
        <w:jc w:val="start"/>
        <w:bidi/>
      </w:pPr>
      <w:r>
        <w:rPr>
          <w:rFonts w:ascii="arial" w:hAnsi="arial" w:eastAsia="arial" w:cs="arial"/>
          <w:sz w:val="28"/>
          <w:szCs w:val="28"/>
          <w:b w:val="1"/>
          <w:bCs w:val="1"/>
          <w:rtl/>
        </w:rPr>
        <w:t xml:space="preserve">يحيى بن عبد الرحمن بن أحمد بن ربيع الأشعري يكنى أبا عامر
</w:t>
      </w:r>
    </w:p>
    <w:p>
      <w:pPr/>
      <w:r>
        <w:rPr/>
        <w:t xml:space="preserve">يحيى بن عبد الرحمن بن أحمد بن ربيع الأشعري يكنى أبا عامر العالم الجليل المحدث الحافظ واحد عصره وفريد دهره. وكان رحمه الله تعالى عالما من أعلام الأندلس ناصرا للسنة رادعا لأهل الأهواء متكلما دقيق النظر سديد البحث سهل المناظرة شديد التواضع كثير الانصاف مع هيبة ووقار وسكون. ولي قضاء الجماعة: بقرطبة ثم بغرناطة وأقرأ بغرناطة لأكابر علمائها الحديث والأصلين وغير ذلك.</w:t>
      </w:r>
    </w:p>
    <w:p/>
    <w:p>
      <w:pPr/>
      <w:r>
        <w:rPr/>
        <w:t xml:space="preserve">حدث عن والده العالم المحدث أبي الحسين: عبد الرحمن بن ربيع وعن أبي جعفر: أحمد بن يحيى الحميري وعن أبي القاسم بن بشكوال وأبي بكر بن الجد الفهري وأبي عبد الله بن أرمق وأبي محمد: عبد المنعم بن الفرس. توفي سنة سبع أو ثمان وثلاثين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2026-05-14T16:03:33+03:00</dcterms:created>
  <dcterms:modified xsi:type="dcterms:W3CDTF">2026-05-14T16:03:33+03:00</dcterms:modified>
</cp:coreProperties>
</file>

<file path=docProps/custom.xml><?xml version="1.0" encoding="utf-8"?>
<Properties xmlns="http://schemas.openxmlformats.org/officeDocument/2006/custom-properties" xmlns:vt="http://schemas.openxmlformats.org/officeDocument/2006/docPropsVTypes"/>
</file>