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ميمون بن عمر الإفريقي أبو عمر
</w:t>
      </w:r>
    </w:p>
    <w:p>
      <w:pPr>
        <w:jc w:val="start"/>
        <w:bidi/>
      </w:pPr>
      <w:r>
        <w:rPr>
          <w:rFonts w:ascii="arial" w:hAnsi="arial" w:eastAsia="arial" w:cs="arial"/>
          <w:sz w:val="28"/>
          <w:szCs w:val="28"/>
          <w:b w:val="1"/>
          <w:bCs w:val="1"/>
          <w:rtl/>
        </w:rPr>
        <w:t xml:space="preserve">محمد بن ميمون بن عمر الإفريقي أبو عمر
</w:t>
      </w:r>
    </w:p>
    <w:p>
      <w:pPr/>
      <w:r>
        <w:rPr/>
        <w:t xml:space="preserve">محمد بن ميمون بن عمر الإفريقي أبو عمر الفقيه قاضي القيروان وقاضي صقلية عاش مائة سنة أو أكثر وكان آخر من روى عن سحنون بالمغرب وعن أبي مصعب الزهري. توفي سنة عشرين وثلاثمائة ذكره الذهني في العبر.</w:t>
      </w:r>
    </w:p>
    <w:p>
      <w:pPr>
        <w:jc w:val="start"/>
        <w:bidi/>
      </w:pPr>
      <w:r>
        <w:rPr>
          <w:sz w:val="24"/>
          <w:szCs w:val="24"/>
          <w:b w:val="1"/>
          <w:bCs w:val="1"/>
          <w:rtl/>
        </w:rPr>
        <w:t xml:space="preserve">
الديباج المذهب في معرفة أعيان علماء المذهب،(دار التراث للطبع والنشر - القاهرة،2005،ط 1،ج 2،ص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2026-05-14T14:58:49+03:00</dcterms:created>
  <dcterms:modified xsi:type="dcterms:W3CDTF">2026-05-14T14:58:49+03:00</dcterms:modified>
</cp:coreProperties>
</file>

<file path=docProps/custom.xml><?xml version="1.0" encoding="utf-8"?>
<Properties xmlns="http://schemas.openxmlformats.org/officeDocument/2006/custom-properties" xmlns:vt="http://schemas.openxmlformats.org/officeDocument/2006/docPropsVTypes"/>
</file>