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أبو عبد الله بن فرج
</w:t>
      </w:r>
    </w:p>
    <w:p>
      <w:pPr>
        <w:jc w:val="start"/>
        <w:bidi/>
      </w:pPr>
      <w:r>
        <w:rPr>
          <w:rFonts w:ascii="arial" w:hAnsi="arial" w:eastAsia="arial" w:cs="arial"/>
          <w:sz w:val="28"/>
          <w:szCs w:val="28"/>
          <w:b w:val="1"/>
          <w:bCs w:val="1"/>
          <w:rtl/>
        </w:rPr>
        <w:t xml:space="preserve">محمد أبو عبد الله بن فرج
</w:t>
      </w:r>
    </w:p>
    <w:p>
      <w:pPr/>
      <w:r>
        <w:rPr/>
        <w:t xml:space="preserve">محمد أبو عبد الله بن فرج مولى بن الطلاع شيخ الفقهاء في عصره وأسن من بقي في وقته. سمع من يونس بن مغيث ومكي المقري وابن عابد وابن جهور والطرابلسي وتفقه عند بن القطان وابن جوح.</w:t>
      </w:r>
    </w:p>
    <w:p/>
    <w:p>
      <w:pPr/>
      <w:r>
        <w:rPr/>
        <w:t xml:space="preserve">وكان شيخا فاضلا فصيحا وكان قوالا بالحق شديدا على أهل البدع غير هيوب للأمراء شوور عند موت بن القطان ونفذ قوله إلى أن دخل قرطبة المرابطون فأسقط عن الفتيا لتعصبه عليهم مع العبادة فلم يستفت إلى أن مات.</w:t>
      </w:r>
    </w:p>
    <w:p/>
    <w:p>
      <w:pPr/>
      <w:r>
        <w:rPr/>
        <w:t xml:space="preserve">سمع منه عالم عظيم ورحل إليه الناس من كل قطر لسماع الموطأ والمدونة لعلوه في ذلك سمع منه من شيوخ قرطبة: الفقيه أبو الوليد: هشام بن أحمد وحدث عنه القاضي أبو عبد الله بن عيسى واستجازه القاضي أبو علي الصدفي وألف كتاب أحكام النبي صلى الله عليه وسلم وكتاب الشروط وأخرج زوائد أبي محمد في المختصر وألف مختصر أبي محمد على الولاء. توفي سنة سبع وتسعين وأربعمائة.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2026-05-14T13:23:47+03:00</dcterms:created>
  <dcterms:modified xsi:type="dcterms:W3CDTF">2026-05-14T13:23:47+03:00</dcterms:modified>
</cp:coreProperties>
</file>

<file path=docProps/custom.xml><?xml version="1.0" encoding="utf-8"?>
<Properties xmlns="http://schemas.openxmlformats.org/officeDocument/2006/custom-properties" xmlns:vt="http://schemas.openxmlformats.org/officeDocument/2006/docPropsVTypes"/>
</file>