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بكر بن أبي يحيى زكريا الوقار
</w:t>
      </w:r>
    </w:p>
    <w:p>
      <w:pPr>
        <w:jc w:val="start"/>
        <w:bidi/>
      </w:pPr>
      <w:r>
        <w:rPr>
          <w:rFonts w:ascii="arial" w:hAnsi="arial" w:eastAsia="arial" w:cs="arial"/>
          <w:sz w:val="28"/>
          <w:szCs w:val="28"/>
          <w:b w:val="1"/>
          <w:bCs w:val="1"/>
          <w:rtl/>
        </w:rPr>
        <w:t xml:space="preserve">محمد أبو بكر بن أبي يحيى زكريا الوقار
</w:t>
      </w:r>
    </w:p>
    <w:p>
      <w:pPr/>
      <w:r>
        <w:rPr/>
        <w:t xml:space="preserve">محمد أبو بكر بن أبي يحيى زكريا الوقار كان حافظا للمذهب وألف كتاب السنة ورسالته في السنة ومختصرين في الفقه: الكبير منهما في سبعة عشر جزءا وأهل القيروان يفضلون مختصر أبي بكر بن الوقار على مختصر بن عبد الحكم. تفقه بأبيه وابن عبد الحكم وأصبغ روى عنه إسحاق بن إبراهيم بن نصير ومحمد بن مسلم بن بكار الفيومي وأبو الطاهر: محمد بن سليمان وأبو الطاهر: محمد بن جعفر البرسيمي وتوفي في رجب سنة تسع وستين ومائتين وقيل: ثلاث وقيل أربع. والوقار بتخفيف القاف. كذا تلقيناه من الشيوخ.</w:t>
      </w:r>
    </w:p>
    <w:p>
      <w:pPr>
        <w:jc w:val="start"/>
        <w:bidi/>
      </w:pPr>
      <w:r>
        <w:rPr>
          <w:sz w:val="24"/>
          <w:szCs w:val="24"/>
          <w:b w:val="1"/>
          <w:bCs w:val="1"/>
          <w:rtl/>
        </w:rPr>
        <w:t xml:space="preserve">
الديباج المذهب في معرفة أعيان علماء المذهب،(دار التراث للطبع والنشر - القاهرة،2005،ط 1،ج 2،ص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2026-05-12T12:52:18+03:00</dcterms:created>
  <dcterms:modified xsi:type="dcterms:W3CDTF">2026-05-12T12:52:18+03:00</dcterms:modified>
</cp:coreProperties>
</file>

<file path=docProps/custom.xml><?xml version="1.0" encoding="utf-8"?>
<Properties xmlns="http://schemas.openxmlformats.org/officeDocument/2006/custom-properties" xmlns:vt="http://schemas.openxmlformats.org/officeDocument/2006/docPropsVTypes"/>
</file>