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علي بن علي بن أحمد بن سليمان النفزي
</w:t>
      </w:r>
    </w:p>
    <w:p>
      <w:pPr>
        <w:jc w:val="start"/>
        <w:bidi/>
      </w:pPr>
      <w:r>
        <w:rPr>
          <w:rFonts w:ascii="arial" w:hAnsi="arial" w:eastAsia="arial" w:cs="arial"/>
          <w:sz w:val="28"/>
          <w:szCs w:val="28"/>
          <w:b w:val="1"/>
          <w:bCs w:val="1"/>
          <w:rtl/>
        </w:rPr>
        <w:t xml:space="preserve">علي بن علي بن أحمد بن سليمان النفزي
</w:t>
      </w:r>
    </w:p>
    <w:p>
      <w:pPr/>
      <w:r>
        <w:rPr/>
        <w:t xml:space="preserve">علي بن علي بن أحمد بن سليمان النفزي اسطي الأصل وسكن غرناطة يكنى أبا الحسن. كان فقيها عارفا بمذهب مالك منسوبا إلى فهمه وحسن الاستنباط في النوازل قرأ على أبي بحر الكفيف وأبي مروان بن قزمان. روى عنه أبو القاسم بن الطيلسان وكان حيا سنة ثلاث عشرة وستمائة.</w:t>
      </w:r>
    </w:p>
    <w:p>
      <w:pPr>
        <w:jc w:val="start"/>
        <w:bidi/>
      </w:pPr>
      <w:r>
        <w:rPr>
          <w:sz w:val="24"/>
          <w:szCs w:val="24"/>
          <w:b w:val="1"/>
          <w:bCs w:val="1"/>
          <w:rtl/>
        </w:rPr>
        <w:t xml:space="preserve">
الديباج المذهب في معرفة أعيان علماء المذهب،(دار التراث للطبع والنشر - القاهرة،2005،ط 1،ج 2،ص 117)</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2026-05-12T11:46:51+03:00</dcterms:created>
  <dcterms:modified xsi:type="dcterms:W3CDTF">2026-05-12T11:46:51+03:00</dcterms:modified>
</cp:coreProperties>
</file>

<file path=docProps/custom.xml><?xml version="1.0" encoding="utf-8"?>
<Properties xmlns="http://schemas.openxmlformats.org/officeDocument/2006/custom-properties" xmlns:vt="http://schemas.openxmlformats.org/officeDocument/2006/docPropsVTypes"/>
</file>