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محمد بن العباس بن فهر
</w:t>
      </w:r>
    </w:p>
    <w:p>
      <w:pPr>
        <w:jc w:val="start"/>
        <w:bidi/>
      </w:pPr>
      <w:r>
        <w:rPr>
          <w:rFonts w:ascii="arial" w:hAnsi="arial" w:eastAsia="arial" w:cs="arial"/>
          <w:sz w:val="28"/>
          <w:szCs w:val="28"/>
          <w:b w:val="1"/>
          <w:bCs w:val="1"/>
          <w:rtl/>
        </w:rPr>
        <w:t xml:space="preserve">علي بن الحسن بن محمد بن العباس بن فهر
</w:t>
      </w:r>
    </w:p>
    <w:p>
      <w:pPr/>
      <w:r>
        <w:rPr/>
        <w:t xml:space="preserve">علي بن الحسن بن محمد بن العباس بن فهر أبو الحسن فقيه مالكي وألف في فضائل مالك بن أنس اثني عشر جزءا سمع بالمشرق من جماعة سمع منه الدلائي والمهلب بن أبي صفرة. قال المهلب: لقيته بمصر ومكة ولم ألق مثله.</w:t>
      </w:r>
    </w:p>
    <w:p>
      <w:pPr>
        <w:jc w:val="start"/>
        <w:bidi/>
      </w:pPr>
      <w:r>
        <w:rPr>
          <w:sz w:val="24"/>
          <w:szCs w:val="24"/>
          <w:b w:val="1"/>
          <w:bCs w:val="1"/>
          <w:rtl/>
        </w:rPr>
        <w:t xml:space="preserve">
الديباج المذهب في معرفة أعيان علماء المذهب،(دار التراث للطبع والنشر - القاهرة،2005،ط 1،ج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2026-05-12T11:47:23+03:00</dcterms:created>
  <dcterms:modified xsi:type="dcterms:W3CDTF">2026-05-12T11:47:23+03:00</dcterms:modified>
</cp:coreProperties>
</file>

<file path=docProps/custom.xml><?xml version="1.0" encoding="utf-8"?>
<Properties xmlns="http://schemas.openxmlformats.org/officeDocument/2006/custom-properties" xmlns:vt="http://schemas.openxmlformats.org/officeDocument/2006/docPropsVTypes"/>
</file>