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محمد بن يحيى بن محمد بن منظور القيسي
</w:t>
      </w:r>
    </w:p>
    <w:p>
      <w:pPr>
        <w:jc w:val="start"/>
        <w:bidi/>
      </w:pPr>
      <w:r>
        <w:rPr>
          <w:rFonts w:ascii="arial" w:hAnsi="arial" w:eastAsia="arial" w:cs="arial"/>
          <w:sz w:val="28"/>
          <w:szCs w:val="28"/>
          <w:b w:val="1"/>
          <w:bCs w:val="1"/>
          <w:rtl/>
        </w:rPr>
        <w:t xml:space="preserve">عثمان بن محمد بن يحيى بن محمد بن منظور القيسي
</w:t>
      </w:r>
    </w:p>
    <w:p>
      <w:pPr/>
      <w:r>
        <w:rPr/>
        <w:t xml:space="preserve">عثمان بن محمد بن يحيى بن محمد بن منظور القيسي من أهل مالقة يكنى أبا عمرو ويعرف بابن منظور الأستاذ القاضي: من بيت بني منظور الإشبيليين: أحد بيوت الأندلس المعمور بالنباهة كان رحمه الله تعالى صدرا في علماء بلده أستاذا ممتعا من أهل النظر والاجتهاد والتحقيق ثاقب الذهن أصيل البحث مضطلعا بالمشكلات مشاركا في فنون من فقه وعربية برز فيها إلى أصول وقراءات وطب ومنطق.</w:t>
      </w:r>
    </w:p>
    <w:p/>
    <w:p>
      <w:pPr/>
      <w:r>
        <w:rPr/>
        <w:t xml:space="preserve">قرأ على الأستاذ أبي عبد الله بن الفخار وغيره من العلماء وكان متبحرا في المسائل وقيد بخطه الكثير واجتهد وصنف وأقرأ ببلده فعظم به الانتفاع وولي القضاء بمواضع عديدة وتوفي قاضيا.</w:t>
      </w:r>
    </w:p>
    <w:p/>
    <w:p>
      <w:pPr/>
      <w:r>
        <w:rPr/>
        <w:t xml:space="preserve">وله شعر مفيد وله تآليف منها: تقييد حسن في الفرائض سماه: بغية الباحث في معرفة مقدمات الموارث وآخر في المسح على الأنماق الأندلسية واللمع الجدلية في كيفية التحدث في علم العربية. توفي عام خمس وثلاثين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محمد بن يحيى بن محمد بن منظور القيسي.
</w:t>
      </w:r>
    </w:p>
    <w:p>
      <w:pPr/>
      <w:r>
        <w:rPr/>
        <w:t xml:space="preserve">عثمان بن محمد بن يحيى بن محمد بن منظور القيسي. </w:t>
      </w:r>
    </w:p>
    <w:p/>
    <w:p/>
    <w:p>
      <w:pPr/>
      <w:r>
        <w:rPr/>
        <w:t xml:space="preserve">من أهل مالقة الأستاذ القاضي أبو عمرو، من بيت بنى منظور الإشبيليين: أحد بيوت الأندلس المعمورة بالعلم والنباهة.</w:t>
      </w:r>
    </w:p>
    <w:p/>
    <w:p/>
    <w:p>
      <w:pPr/>
      <w:r>
        <w:rPr/>
        <w:t xml:space="preserve">كان مشاركا في فنون من فقه، وعربية، وقراءات، وطب، ومنطق.</w:t>
      </w:r>
    </w:p>
    <w:p/>
    <w:p/>
    <w:p>
      <w:pPr/>
      <w:r>
        <w:rPr/>
        <w:t xml:space="preserve">قرأ على الأستاذ أبي عبد الله بن الفخار، واجتهد، وصنف، وأقرأ ببلده، فعظم الانتفاع به، وولى القضاء بمواضع عديدة.</w:t>
      </w:r>
    </w:p>
    <w:p/>
    <w:p/>
    <w:p>
      <w:pPr/>
      <w:r>
        <w:rPr/>
        <w:t xml:space="preserve">توفي قاضيا. وله شعر قليل، وله تواليف منها: تقييد حسن في الفرائض سماه: «بغية الباحث، في معرفة مقامات الموارث»، و«اللمع الجدلية في كيفية التحدث في علم العربية».</w:t>
      </w:r>
    </w:p>
    <w:p/>
    <w:p/>
    <w:p>
      <w:pPr/>
      <w:r>
        <w:rPr/>
        <w:t xml:space="preserve">توفي سنة 735.</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2026-05-12T10:45:40+03:00</dcterms:created>
  <dcterms:modified xsi:type="dcterms:W3CDTF">2026-05-12T10:45:40+03:00</dcterms:modified>
</cp:coreProperties>
</file>

<file path=docProps/custom.xml><?xml version="1.0" encoding="utf-8"?>
<Properties xmlns="http://schemas.openxmlformats.org/officeDocument/2006/custom-properties" xmlns:vt="http://schemas.openxmlformats.org/officeDocument/2006/docPropsVTypes"/>
</file>