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سابح
</w:t>
      </w:r>
    </w:p>
    <w:p>
      <w:pPr>
        <w:jc w:val="start"/>
        <w:bidi/>
      </w:pPr>
      <w:r>
        <w:rPr>
          <w:rFonts w:ascii="arial" w:hAnsi="arial" w:eastAsia="arial" w:cs="arial"/>
          <w:sz w:val="28"/>
          <w:szCs w:val="28"/>
          <w:b w:val="1"/>
          <w:bCs w:val="1"/>
          <w:rtl/>
        </w:rPr>
        <w:t xml:space="preserve">عبد الملك بن سابح
</w:t>
      </w:r>
    </w:p>
    <w:p>
      <w:pPr/>
      <w:r>
        <w:rPr/>
        <w:t xml:space="preserve">عبد الملك بن سابح أصله من قرى بجاية كان من العلماء الحفاظ عارفا بالعربية وعبارة الرؤيا.</w:t>
      </w:r>
    </w:p>
    <w:p/>
    <w:p>
      <w:pPr/>
      <w:r>
        <w:rPr/>
        <w:t xml:space="preserve">تفقه عنه فضل بن سلمة واستخرج من الواضحة وكتاب بن المواز ما لم يكن في المدونة ولا في المستخرجة وحج وانصرف إلى الأندلس ثم رجع إلى مصر ومنها إلى الشام ورابط في سواحلها ولم يزل على خير وعبادة إلى أن توفي رحمة الله تعالى عليه.</w:t>
      </w:r>
    </w:p>
    <w:p>
      <w:pPr>
        <w:jc w:val="start"/>
        <w:bidi/>
      </w:pPr>
      <w:r>
        <w:rPr>
          <w:sz w:val="24"/>
          <w:szCs w:val="24"/>
          <w:b w:val="1"/>
          <w:bCs w:val="1"/>
          <w:rtl/>
        </w:rPr>
        <w:t xml:space="preserve">
الديباج المذهب في معرفة أعيان علماء المذهب،(دار التراث للطبع والنشر - القاهرة،2005،ط 1،ج 2،ص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2026-05-14T13:22:49+03:00</dcterms:created>
  <dcterms:modified xsi:type="dcterms:W3CDTF">2026-05-14T13:22:49+03:00</dcterms:modified>
</cp:coreProperties>
</file>

<file path=docProps/custom.xml><?xml version="1.0" encoding="utf-8"?>
<Properties xmlns="http://schemas.openxmlformats.org/officeDocument/2006/custom-properties" xmlns:vt="http://schemas.openxmlformats.org/officeDocument/2006/docPropsVTypes"/>
</file>