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مروان قاضي المدينة ابن محمد بن عبد العزيز بن أحمد المدني
</w:t>
      </w:r>
    </w:p>
    <w:p>
      <w:pPr>
        <w:jc w:val="start"/>
        <w:bidi/>
      </w:pPr>
      <w:r>
        <w:rPr>
          <w:rFonts w:ascii="arial" w:hAnsi="arial" w:eastAsia="arial" w:cs="arial"/>
          <w:sz w:val="28"/>
          <w:szCs w:val="28"/>
          <w:b w:val="1"/>
          <w:bCs w:val="1"/>
          <w:rtl/>
        </w:rPr>
        <w:t xml:space="preserve">عبد الملك بن مروان قاضي المدينة ابن محمد بن عبد العزيز بن أحمد المدني
</w:t>
      </w:r>
    </w:p>
    <w:p>
      <w:pPr/>
      <w:r>
        <w:rPr/>
        <w:t xml:space="preserve">عبد الملك بن مروان قاضي المدينة ابن محمد بن عبد العزيز بن أحمد المدني ويعرف بالمرواني ويعرف أيضا بالمالكي كان من أهل العلم وألف كتاب الأشربة وتحريم السكر وهو كتاب الرد على أبي جعفر الإسكافي وسمع منه الناس كثيرا منهم من أهل الأندلس: أبو محمد الأصيلي والقاضي بن السليم وأبو عبد الله بن مفرج وغيرهم. وأخذ عنه القاضي عبد الوهاب البغدادي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2026-05-14T13:48:58+03:00</dcterms:created>
  <dcterms:modified xsi:type="dcterms:W3CDTF">2026-05-14T13:48:58+03:00</dcterms:modified>
</cp:coreProperties>
</file>

<file path=docProps/custom.xml><?xml version="1.0" encoding="utf-8"?>
<Properties xmlns="http://schemas.openxmlformats.org/officeDocument/2006/custom-properties" xmlns:vt="http://schemas.openxmlformats.org/officeDocument/2006/docPropsVTypes"/>
</file>