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ويعرف بزونان
</w:t>
      </w:r>
    </w:p>
    <w:p>
      <w:pPr>
        <w:jc w:val="start"/>
        <w:bidi/>
      </w:pPr>
      <w:r>
        <w:rPr>
          <w:rFonts w:ascii="arial" w:hAnsi="arial" w:eastAsia="arial" w:cs="arial"/>
          <w:sz w:val="28"/>
          <w:szCs w:val="28"/>
          <w:b w:val="1"/>
          <w:bCs w:val="1"/>
          <w:rtl/>
        </w:rPr>
        <w:t xml:space="preserve">عبد الله ويعرف بزونان
</w:t>
      </w:r>
    </w:p>
    <w:p>
      <w:pPr/>
      <w:r>
        <w:rPr/>
        <w:t xml:space="preserve">عبد الله ويعرف بزونان وهو عبد الملك بن الحسين بن محمد بن زريق بن عبد الله بن أبي رافع مولى رسول الله صلى الله عليه وسلم يكنى أبا مروان سمع من بن القاسم وأشهب وابن وهب وغيرهم.</w:t>
      </w:r>
    </w:p>
    <w:p/>
    <w:p>
      <w:pPr/>
      <w:r>
        <w:rPr/>
        <w:t xml:space="preserve">وكان الأغلب عليه الفقه ولم يكن من أهل الحديث وكان يذهب مذهب الأوزاعي في أول أمره ثم رجع إلى مذهب مالك. كان فقيها فاضلا ورعا زاهدا ولي قضاء طليطلة كان يحيى بن يحيى يعجب من كلام زونان. توفي سنة اثنتين وثلاثين ومائتين.</w:t>
      </w:r>
    </w:p>
    <w:p>
      <w:pPr>
        <w:jc w:val="start"/>
        <w:bidi/>
      </w:pPr>
      <w:r>
        <w:rPr>
          <w:sz w:val="24"/>
          <w:szCs w:val="24"/>
          <w:b w:val="1"/>
          <w:bCs w:val="1"/>
          <w:rtl/>
        </w:rPr>
        <w:t xml:space="preserve">
الديباج المذهب في معرفة أعيان علماء المذهب،(دار التراث للطبع والنشر - القاهرة،2005،ط 1،ج 2،ص 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2026-05-14T13:24:21+03:00</dcterms:created>
  <dcterms:modified xsi:type="dcterms:W3CDTF">2026-05-14T13:24:21+03:00</dcterms:modified>
</cp:coreProperties>
</file>

<file path=docProps/custom.xml><?xml version="1.0" encoding="utf-8"?>
<Properties xmlns="http://schemas.openxmlformats.org/officeDocument/2006/custom-properties" xmlns:vt="http://schemas.openxmlformats.org/officeDocument/2006/docPropsVTypes"/>
</file>