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الفقيه أبو القاسم بن محمد بن عبد الرحمن بن العجوز
</w:t>
      </w:r>
    </w:p>
    <w:p>
      <w:pPr>
        <w:jc w:val="start"/>
        <w:bidi/>
      </w:pPr>
      <w:r>
        <w:rPr>
          <w:rFonts w:ascii="arial" w:hAnsi="arial" w:eastAsia="arial" w:cs="arial"/>
          <w:sz w:val="28"/>
          <w:szCs w:val="28"/>
          <w:b w:val="1"/>
          <w:bCs w:val="1"/>
          <w:rtl/>
        </w:rPr>
        <w:t xml:space="preserve">عبد الرحمن الفقيه أبو القاسم بن محمد بن عبد الرحمن بن العجوز
</w:t>
      </w:r>
    </w:p>
    <w:p>
      <w:pPr/>
      <w:r>
        <w:rPr/>
        <w:t xml:space="preserve">عبد الرحمن الفقيه أبو القاسم بن محمد بن عبد الرحمن بن العجوز أخذ عن أبيه وغيره وكان عالما نبيلا بصيرا بالأحكام والوثائق عالما بالاحتجاج حضرت مجلسه في تدريس المدونة فما رأيت أحسن منه احتجاجا ولا أبين منه توجيها ولي قضاء الجزيرة وقضاء سلا ثم قضاء مراكش - رحمه الله -.</w:t>
      </w:r>
    </w:p>
    <w:p>
      <w:pPr>
        <w:jc w:val="start"/>
        <w:bidi/>
      </w:pPr>
      <w:r>
        <w:rPr>
          <w:sz w:val="24"/>
          <w:szCs w:val="24"/>
          <w:b w:val="1"/>
          <w:bCs w:val="1"/>
          <w:rtl/>
        </w:rPr>
        <w:t xml:space="preserve">
الديباج المذهب في معرفة أعيان علماء المذهب،(دار التراث للطبع والنشر - القاهرة،2005،ط 1،ج 1،ص 477)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2026-05-12T09:59:49+03:00</dcterms:created>
  <dcterms:modified xsi:type="dcterms:W3CDTF">2026-05-12T09:59:49+03:00</dcterms:modified>
</cp:coreProperties>
</file>

<file path=docProps/custom.xml><?xml version="1.0" encoding="utf-8"?>
<Properties xmlns="http://schemas.openxmlformats.org/officeDocument/2006/custom-properties" xmlns:vt="http://schemas.openxmlformats.org/officeDocument/2006/docPropsVTypes"/>
</file>