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المسيلي
</w:t>
      </w:r>
    </w:p>
    <w:p>
      <w:pPr>
        <w:jc w:val="start"/>
        <w:bidi/>
      </w:pPr>
      <w:r>
        <w:rPr>
          <w:rFonts w:ascii="arial" w:hAnsi="arial" w:eastAsia="arial" w:cs="arial"/>
          <w:sz w:val="28"/>
          <w:szCs w:val="28"/>
          <w:b w:val="1"/>
          <w:bCs w:val="1"/>
          <w:rtl/>
        </w:rPr>
        <w:t xml:space="preserve">عبد الله بن محمد المسيلي
</w:t>
      </w:r>
    </w:p>
    <w:p>
      <w:pPr/>
      <w:r>
        <w:rPr/>
        <w:t xml:space="preserve">عبد الله بن محمد المسيلي جمال الدين أبو محمد الإمام العلامة الأوحد البارع المتفنن صاحب المصنفات البديعة والعلوم الرفيعة كان حاله عجيبا ومنزعه غريبا وتصانيفه في غاية الجودة والإفادة والتنقيح وانتفع به القاضي فخر الدين بن شكر المالكي. توفي سنة أربع وأربعين وسبعمائة بالقاهرة.</w:t>
      </w:r>
    </w:p>
    <w:p>
      <w:pPr>
        <w:jc w:val="start"/>
        <w:bidi/>
      </w:pPr>
      <w:r>
        <w:rPr>
          <w:sz w:val="24"/>
          <w:szCs w:val="24"/>
          <w:b w:val="1"/>
          <w:bCs w:val="1"/>
          <w:rtl/>
        </w:rPr>
        <w:t xml:space="preserve">
الديباج المذهب في معرفة أعيان علماء المذهب،(دار التراث للطبع والنشر - القاهرة،2005،ط 1،ج 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2026-05-14T13:24:22+03:00</dcterms:created>
  <dcterms:modified xsi:type="dcterms:W3CDTF">2026-05-14T13:24:22+03:00</dcterms:modified>
</cp:coreProperties>
</file>

<file path=docProps/custom.xml><?xml version="1.0" encoding="utf-8"?>
<Properties xmlns="http://schemas.openxmlformats.org/officeDocument/2006/custom-properties" xmlns:vt="http://schemas.openxmlformats.org/officeDocument/2006/docPropsVTypes"/>
</file>